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FBEA1" w14:textId="2F1133AC" w:rsidR="0022017E" w:rsidRPr="00CF7DE9" w:rsidRDefault="00F57C6B" w:rsidP="008E24CD">
      <w:pPr>
        <w:rPr>
          <w:rFonts w:ascii="Century Gothic" w:hAnsi="Century Gothic"/>
          <w:b/>
          <w:bCs/>
          <w:color w:val="595959" w:themeColor="text1" w:themeTint="A6"/>
          <w:sz w:val="36"/>
          <w:szCs w:val="36"/>
        </w:rPr>
      </w:pPr>
      <w:r w:rsidRPr="00CF7DE9">
        <w:rPr>
          <w:rFonts w:ascii="Century Gothic" w:hAnsi="Century Gothic"/>
          <w:b/>
          <w:bCs/>
          <w:noProof/>
          <w:color w:val="000000" w:themeColor="text1"/>
          <w:sz w:val="36"/>
          <w:szCs w:val="36"/>
        </w:rPr>
        <w:drawing>
          <wp:anchor distT="0" distB="0" distL="114300" distR="114300" simplePos="0" relativeHeight="251661312" behindDoc="0" locked="0" layoutInCell="1" allowOverlap="1" wp14:anchorId="5B13D655" wp14:editId="7F18C088">
            <wp:simplePos x="0" y="0"/>
            <wp:positionH relativeFrom="column">
              <wp:posOffset>4730750</wp:posOffset>
            </wp:positionH>
            <wp:positionV relativeFrom="paragraph">
              <wp:posOffset>85826</wp:posOffset>
            </wp:positionV>
            <wp:extent cx="2075688" cy="411480"/>
            <wp:effectExtent l="0" t="0" r="1270" b="7620"/>
            <wp:wrapNone/>
            <wp:docPr id="959768006" name="Picture 1"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68006" name="Picture 1" descr="A blue background with white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688" cy="411480"/>
                    </a:xfrm>
                    <a:prstGeom prst="rect">
                      <a:avLst/>
                    </a:prstGeom>
                  </pic:spPr>
                </pic:pic>
              </a:graphicData>
            </a:graphic>
            <wp14:sizeRelH relativeFrom="page">
              <wp14:pctWidth>0</wp14:pctWidth>
            </wp14:sizeRelH>
            <wp14:sizeRelV relativeFrom="page">
              <wp14:pctHeight>0</wp14:pctHeight>
            </wp14:sizeRelV>
          </wp:anchor>
        </w:drawing>
      </w:r>
      <w:r w:rsidR="002160F0" w:rsidRPr="00CF7DE9">
        <w:rPr>
          <w:rFonts w:ascii="Century Gothic" w:hAnsi="Century Gothic"/>
          <w:b/>
          <w:color w:val="595959" w:themeColor="text1" w:themeTint="A6"/>
          <w:sz w:val="36"/>
          <w:szCs w:val="36"/>
        </w:rPr>
        <w:t xml:space="preserve">BEISPIELVORLAGE FÜR DIE AUSFÜHRLICHE </w:t>
      </w:r>
      <w:r w:rsidR="008E24CD" w:rsidRPr="00CF7DE9">
        <w:rPr>
          <w:rFonts w:ascii="Century Gothic" w:hAnsi="Century Gothic"/>
          <w:b/>
          <w:bCs/>
          <w:color w:val="595959" w:themeColor="text1" w:themeTint="A6"/>
          <w:sz w:val="36"/>
          <w:szCs w:val="36"/>
        </w:rPr>
        <w:br/>
      </w:r>
      <w:r w:rsidR="002160F0" w:rsidRPr="00CF7DE9">
        <w:rPr>
          <w:rFonts w:ascii="Century Gothic" w:hAnsi="Century Gothic"/>
          <w:b/>
          <w:color w:val="595959" w:themeColor="text1" w:themeTint="A6"/>
          <w:sz w:val="36"/>
          <w:szCs w:val="36"/>
        </w:rPr>
        <w:t>ANALYSE EINER FALLSTUDIE</w:t>
      </w:r>
    </w:p>
    <w:p w14:paraId="2DBC4C43" w14:textId="55032B8A" w:rsidR="0075548A" w:rsidRPr="0075548A" w:rsidRDefault="0075548A">
      <w:pPr>
        <w:rPr>
          <w:rFonts w:ascii="Century Gothic" w:hAnsi="Century Gothic"/>
          <w:color w:val="595959" w:themeColor="text1" w:themeTint="A6"/>
          <w:sz w:val="24"/>
          <w:szCs w:val="24"/>
        </w:rPr>
      </w:pPr>
      <w:r>
        <w:rPr>
          <w:rFonts w:ascii="Century Gothic" w:hAnsi="Century Gothic"/>
          <w:color w:val="000000"/>
          <w:sz w:val="24"/>
        </w:rPr>
        <w:t>Dieser Beispieltext bietet eine umfassende Struktur, um eine fundierte Analyse des erfolgreichen Ansatzes von Positive Charge zur Verbesserung der städtischen Ladeinfrastruktur für Elektrofahrzeuge zu präsentieren.</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81"/>
        <w:gridCol w:w="5379"/>
      </w:tblGrid>
      <w:tr w:rsidR="002D4865" w14:paraId="3C01581C"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ZUSAMMENFASSUNG</w:t>
            </w:r>
          </w:p>
        </w:tc>
      </w:tr>
      <w:tr w:rsidR="002D4865" w14:paraId="1D84FE07" w14:textId="77777777" w:rsidTr="0075548A">
        <w:trPr>
          <w:trHeight w:val="1195"/>
        </w:trPr>
        <w:tc>
          <w:tcPr>
            <w:tcW w:w="10780" w:type="dxa"/>
            <w:gridSpan w:val="2"/>
            <w:tcBorders>
              <w:top w:val="single" w:sz="8" w:space="0" w:color="BFBFBF" w:themeColor="background1" w:themeShade="BF"/>
              <w:bottom w:val="single" w:sz="8" w:space="0" w:color="BFBFBF" w:themeColor="background1" w:themeShade="BF"/>
            </w:tcBorders>
            <w:vAlign w:val="center"/>
          </w:tcPr>
          <w:p w14:paraId="3A745F9E" w14:textId="6974A72A" w:rsidR="002D4865" w:rsidRPr="0075548A" w:rsidRDefault="0075548A">
            <w:pPr>
              <w:rPr>
                <w:rFonts w:ascii="Century Gothic" w:hAnsi="Century Gothic"/>
                <w:color w:val="595959" w:themeColor="text1" w:themeTint="A6"/>
                <w:sz w:val="24"/>
                <w:szCs w:val="24"/>
              </w:rPr>
            </w:pPr>
            <w:r>
              <w:rPr>
                <w:rFonts w:ascii="Century Gothic" w:hAnsi="Century Gothic"/>
                <w:color w:val="595959" w:themeColor="text1" w:themeTint="A6"/>
                <w:sz w:val="24"/>
              </w:rPr>
              <w:t>Diese Fallstudie untersucht den innovativen Ansatz von Positive Charge zum Lösen von Herausforderungen beim Laden von Elektrofahrzeugen in Städten. Die wichtigsten Ergebnisse zeigen signifikante Verbesserungen bei der Ladeeffizienz und der Kundenzufriedenheit.</w:t>
            </w:r>
          </w:p>
        </w:tc>
      </w:tr>
      <w:tr w:rsidR="002D4865" w14:paraId="0C7605BE"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EINFÜHRUNG</w:t>
            </w:r>
          </w:p>
        </w:tc>
      </w:tr>
      <w:tr w:rsidR="002D4865" w14:paraId="359D3F07" w14:textId="77777777" w:rsidTr="00931CDE">
        <w:trPr>
          <w:trHeight w:val="1267"/>
        </w:trPr>
        <w:tc>
          <w:tcPr>
            <w:tcW w:w="10780" w:type="dxa"/>
            <w:gridSpan w:val="2"/>
            <w:tcBorders>
              <w:top w:val="single" w:sz="8" w:space="0" w:color="BFBFBF" w:themeColor="background1" w:themeShade="BF"/>
              <w:bottom w:val="single" w:sz="8" w:space="0" w:color="BFBFBF" w:themeColor="background1" w:themeShade="BF"/>
            </w:tcBorders>
            <w:vAlign w:val="center"/>
          </w:tcPr>
          <w:p w14:paraId="3E64A1BA" w14:textId="6F55F49B" w:rsidR="002D4865" w:rsidRPr="0075548A" w:rsidRDefault="0075548A">
            <w:pPr>
              <w:rPr>
                <w:rFonts w:ascii="Century Gothic" w:hAnsi="Century Gothic"/>
                <w:color w:val="595959" w:themeColor="text1" w:themeTint="A6"/>
                <w:sz w:val="24"/>
                <w:szCs w:val="24"/>
              </w:rPr>
            </w:pPr>
            <w:r>
              <w:rPr>
                <w:rFonts w:ascii="Century Gothic" w:hAnsi="Century Gothic"/>
                <w:color w:val="595959" w:themeColor="text1" w:themeTint="A6"/>
                <w:sz w:val="24"/>
              </w:rPr>
              <w:t>Positive Charge, ein wegweisendes Unternehmen für das Laden von Elektrofahrzeugen und die Infrastrukturlogistik, hat in Städten die Infrastruktur für Elektrofahrzeuge transformiert. Das 2015 gegründete Unternehmen entwickelte sich schnell zu einem wichtigen Akteur im Bereich des nachhaltigen Stadtverkehrs.</w:t>
            </w:r>
          </w:p>
        </w:tc>
      </w:tr>
      <w:tr w:rsidR="002D4865" w14:paraId="74945AF7"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PROBLEMBESCHREIBUNG</w:t>
            </w:r>
          </w:p>
        </w:tc>
      </w:tr>
      <w:tr w:rsidR="002D4865" w14:paraId="5F47BA14" w14:textId="77777777" w:rsidTr="00931CDE">
        <w:trPr>
          <w:trHeight w:val="952"/>
        </w:trPr>
        <w:tc>
          <w:tcPr>
            <w:tcW w:w="10780" w:type="dxa"/>
            <w:gridSpan w:val="2"/>
            <w:tcBorders>
              <w:top w:val="single" w:sz="8" w:space="0" w:color="BFBFBF" w:themeColor="background1" w:themeShade="BF"/>
            </w:tcBorders>
            <w:vAlign w:val="center"/>
          </w:tcPr>
          <w:p w14:paraId="1E2A7E9B" w14:textId="4457257A" w:rsidR="002D4865" w:rsidRPr="0075548A" w:rsidRDefault="0075548A">
            <w:pPr>
              <w:rPr>
                <w:rFonts w:ascii="Century Gothic" w:hAnsi="Century Gothic"/>
                <w:color w:val="595959" w:themeColor="text1" w:themeTint="A6"/>
                <w:sz w:val="24"/>
                <w:szCs w:val="24"/>
              </w:rPr>
            </w:pPr>
            <w:r>
              <w:rPr>
                <w:rFonts w:ascii="Century Gothic" w:hAnsi="Century Gothic"/>
                <w:color w:val="595959" w:themeColor="text1" w:themeTint="A6"/>
                <w:sz w:val="24"/>
              </w:rPr>
              <w:t>Trotz der zunehmenden Akzeptanz von Elektrofahrzeugen gab es in Stadtgebieten nicht genügend Schnellladestationen, was zu Ineffizienzen im Betrieb und Unzufriedenheit der Kundschaft führte.</w:t>
            </w:r>
          </w:p>
        </w:tc>
      </w:tr>
      <w:tr w:rsidR="002D4865" w14:paraId="66BE178E"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DETAILLIERTE ANALYSE</w:t>
            </w:r>
          </w:p>
        </w:tc>
      </w:tr>
      <w:tr w:rsidR="002D4865" w14:paraId="3222F3DA"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259A9FCB" w14:textId="5CEC549B" w:rsidR="002D4865" w:rsidRPr="0075548A" w:rsidRDefault="0075548A"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SITUATIONSANALYSE</w:t>
            </w:r>
          </w:p>
        </w:tc>
        <w:tc>
          <w:tcPr>
            <w:tcW w:w="5390" w:type="dxa"/>
            <w:tcBorders>
              <w:top w:val="single" w:sz="8" w:space="0" w:color="BFBFBF" w:themeColor="background1" w:themeShade="BF"/>
            </w:tcBorders>
            <w:vAlign w:val="center"/>
          </w:tcPr>
          <w:p w14:paraId="37F0F63A" w14:textId="0F2A25EB"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Die Analyse der Muster im Stadtverkehr und der Nutzung von Elektrofahrzeugen ergab, dass strategisch besser gelegene Schnellladestationen dringend benötigt werden.</w:t>
            </w:r>
          </w:p>
        </w:tc>
      </w:tr>
      <w:tr w:rsidR="002D4865" w14:paraId="2FDB515A" w14:textId="77777777" w:rsidTr="00B35B7E">
        <w:trPr>
          <w:trHeight w:val="1440"/>
        </w:trPr>
        <w:tc>
          <w:tcPr>
            <w:tcW w:w="5390" w:type="dxa"/>
            <w:shd w:val="clear" w:color="auto" w:fill="E2EFD9" w:themeFill="accent6" w:themeFillTint="33"/>
            <w:vAlign w:val="center"/>
          </w:tcPr>
          <w:p w14:paraId="5C628DC1" w14:textId="5D689A67" w:rsidR="002D4865" w:rsidRPr="0075548A" w:rsidRDefault="002D4865"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STAKEHOLDER-ANALYSE</w:t>
            </w:r>
          </w:p>
        </w:tc>
        <w:tc>
          <w:tcPr>
            <w:tcW w:w="5390" w:type="dxa"/>
            <w:vAlign w:val="center"/>
          </w:tcPr>
          <w:p w14:paraId="4BE51ECC" w14:textId="689C2296"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Zu den wichtigsten Stakeholder*innen gehörten Stadtplaner*innen, Nutzer*innen von Elektrofahrzeugen und Logistikunternehmen, die jeweils effiziente Ladelösungen benötigten.</w:t>
            </w:r>
          </w:p>
        </w:tc>
      </w:tr>
      <w:tr w:rsidR="002D4865" w14:paraId="6F80E5D8" w14:textId="77777777" w:rsidTr="00B35B7E">
        <w:trPr>
          <w:trHeight w:val="1440"/>
        </w:trPr>
        <w:tc>
          <w:tcPr>
            <w:tcW w:w="5390" w:type="dxa"/>
            <w:shd w:val="clear" w:color="auto" w:fill="E2EFD9" w:themeFill="accent6" w:themeFillTint="33"/>
            <w:vAlign w:val="center"/>
          </w:tcPr>
          <w:p w14:paraId="5E8D2FCB" w14:textId="589A1282" w:rsidR="002D4865" w:rsidRPr="0075548A" w:rsidRDefault="002D4865"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DATEN UND NACHWEISE</w:t>
            </w:r>
          </w:p>
        </w:tc>
        <w:tc>
          <w:tcPr>
            <w:tcW w:w="5390" w:type="dxa"/>
            <w:vAlign w:val="center"/>
          </w:tcPr>
          <w:p w14:paraId="696F579C" w14:textId="4F95C4F6"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Die Daten zeigten, dass die Nachfrage nach Ladestationen für Elektrofahrzeuge in Stadtgebieten im vergangenen Jahr um 30 % gestiegen ist.</w:t>
            </w:r>
          </w:p>
        </w:tc>
      </w:tr>
      <w:tr w:rsidR="002D4865" w14:paraId="3D8CCCE3" w14:textId="77777777" w:rsidTr="0075548A">
        <w:trPr>
          <w:trHeight w:val="1240"/>
        </w:trPr>
        <w:tc>
          <w:tcPr>
            <w:tcW w:w="5390" w:type="dxa"/>
            <w:shd w:val="clear" w:color="auto" w:fill="E2EFD9" w:themeFill="accent6" w:themeFillTint="33"/>
            <w:vAlign w:val="center"/>
          </w:tcPr>
          <w:p w14:paraId="18750B5D" w14:textId="1EC774D5" w:rsidR="002D4865" w:rsidRPr="0075548A" w:rsidRDefault="002D4865"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PROBLEMSPEZIFISCHE ANALYSE</w:t>
            </w:r>
          </w:p>
        </w:tc>
        <w:tc>
          <w:tcPr>
            <w:tcW w:w="5390" w:type="dxa"/>
            <w:vAlign w:val="center"/>
          </w:tcPr>
          <w:p w14:paraId="5D41BA16" w14:textId="5C1B0D0D"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Zu den Stärken gehörten innovative Technologien und strategische Partnerschaften; zu den Schwächen die hohen Installationskosten.</w:t>
            </w:r>
          </w:p>
        </w:tc>
      </w:tr>
      <w:tr w:rsidR="002D4865" w14:paraId="511C0818"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lastRenderedPageBreak/>
              <w:t>ERKUNDEN DER LÖSUNG</w:t>
            </w:r>
          </w:p>
        </w:tc>
      </w:tr>
      <w:tr w:rsidR="002D4865" w14:paraId="7320B779"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5C06E64A" w14:textId="591B9067"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LÖSUNGSVORSCHLÄGE</w:t>
            </w:r>
          </w:p>
        </w:tc>
        <w:tc>
          <w:tcPr>
            <w:tcW w:w="5390" w:type="dxa"/>
            <w:tcBorders>
              <w:top w:val="single" w:sz="8" w:space="0" w:color="BFBFBF" w:themeColor="background1" w:themeShade="BF"/>
            </w:tcBorders>
            <w:vAlign w:val="center"/>
          </w:tcPr>
          <w:p w14:paraId="0FBD7AE7" w14:textId="14D09A52"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Zu den in Betracht gezogenen Lösungen gehörten mobile Ladestationen und Partnerschaften mit den Betreiber*innen von Gewerbeimmobilien bei der Installation von Ladestationen.</w:t>
            </w:r>
          </w:p>
        </w:tc>
      </w:tr>
      <w:tr w:rsidR="002D4865" w14:paraId="738A4FE3" w14:textId="77777777" w:rsidTr="00931CDE">
        <w:trPr>
          <w:trHeight w:val="1618"/>
        </w:trPr>
        <w:tc>
          <w:tcPr>
            <w:tcW w:w="5390" w:type="dxa"/>
            <w:shd w:val="clear" w:color="auto" w:fill="E2EFD9" w:themeFill="accent6" w:themeFillTint="33"/>
            <w:vAlign w:val="center"/>
          </w:tcPr>
          <w:p w14:paraId="470B0DB1" w14:textId="0CC6E8D6"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IMPLEMENTIERUNGSPLAN</w:t>
            </w:r>
          </w:p>
        </w:tc>
        <w:tc>
          <w:tcPr>
            <w:tcW w:w="5390" w:type="dxa"/>
            <w:vAlign w:val="center"/>
          </w:tcPr>
          <w:p w14:paraId="0E1916BF" w14:textId="1D081529" w:rsidR="002D4865" w:rsidRPr="0075548A" w:rsidRDefault="00C17975"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Wir haben uns für die Installation von permanenten Schnellladestationen an wichtigen Logistikpunkten entschieden und den Plan über einen Zeitraum von sechs Monaten abgeschlossen.</w:t>
            </w:r>
          </w:p>
        </w:tc>
      </w:tr>
      <w:tr w:rsidR="00B35B7E" w14:paraId="6C43F172"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ERGEBNISSE UND AUSWIRKUNG</w:t>
            </w:r>
          </w:p>
        </w:tc>
      </w:tr>
      <w:tr w:rsidR="002D4865" w14:paraId="36ECDD64"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6EBCF610" w14:textId="7A3E60C1"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ERGEBNISANALYSE</w:t>
            </w:r>
          </w:p>
        </w:tc>
        <w:tc>
          <w:tcPr>
            <w:tcW w:w="5390" w:type="dxa"/>
            <w:tcBorders>
              <w:top w:val="single" w:sz="8" w:space="0" w:color="BFBFBF" w:themeColor="background1" w:themeShade="BF"/>
            </w:tcBorders>
            <w:vAlign w:val="center"/>
          </w:tcPr>
          <w:p w14:paraId="6238C510" w14:textId="0C9B791C" w:rsidR="002D4865" w:rsidRPr="0022798B"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Nach der Implementierung konnte die Ladeeffizienz um 40 % gesteigert und die Kundenzufriedenheit um 25 % verbessert werden.</w:t>
            </w:r>
          </w:p>
        </w:tc>
      </w:tr>
      <w:tr w:rsidR="002D4865" w14:paraId="439F3785" w14:textId="77777777" w:rsidTr="00931CDE">
        <w:trPr>
          <w:trHeight w:val="1555"/>
        </w:trPr>
        <w:tc>
          <w:tcPr>
            <w:tcW w:w="5390" w:type="dxa"/>
            <w:shd w:val="clear" w:color="auto" w:fill="E2EFD9" w:themeFill="accent6" w:themeFillTint="33"/>
            <w:vAlign w:val="center"/>
          </w:tcPr>
          <w:p w14:paraId="01A43EB9" w14:textId="322886BB"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LANGFRISTIGE AUSWIRKUNGEN</w:t>
            </w:r>
          </w:p>
        </w:tc>
        <w:tc>
          <w:tcPr>
            <w:tcW w:w="5390" w:type="dxa"/>
            <w:vAlign w:val="center"/>
          </w:tcPr>
          <w:p w14:paraId="1506DED4" w14:textId="6F95C4F3" w:rsidR="002D4865" w:rsidRPr="0022798B"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 xml:space="preserve">Die Lösung erfüllte nicht nur den unmittelbaren Bedarf, sondern positionierte Positive Charge auch für zukünftige Erweiterungen der städtischen </w:t>
            </w:r>
            <w:r w:rsidR="007036A2">
              <w:rPr>
                <w:rFonts w:ascii="Century Gothic" w:hAnsi="Century Gothic"/>
                <w:color w:val="595959" w:themeColor="text1" w:themeTint="A6"/>
                <w:sz w:val="24"/>
              </w:rPr>
              <w:br/>
            </w:r>
            <w:r>
              <w:rPr>
                <w:rFonts w:ascii="Century Gothic" w:hAnsi="Century Gothic"/>
                <w:color w:val="595959" w:themeColor="text1" w:themeTint="A6"/>
                <w:sz w:val="24"/>
              </w:rPr>
              <w:t>EV-Ladeinfrastruktur.</w:t>
            </w:r>
          </w:p>
        </w:tc>
      </w:tr>
      <w:tr w:rsidR="00B35B7E" w14:paraId="1EAE92EE"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GEWONNENE ERKENNTNISSE</w:t>
            </w:r>
          </w:p>
        </w:tc>
      </w:tr>
      <w:tr w:rsidR="00B35B7E" w14:paraId="2FA801E8" w14:textId="77777777" w:rsidTr="002160F0">
        <w:trPr>
          <w:trHeight w:val="1440"/>
        </w:trPr>
        <w:tc>
          <w:tcPr>
            <w:tcW w:w="10780" w:type="dxa"/>
            <w:gridSpan w:val="2"/>
            <w:tcBorders>
              <w:top w:val="single" w:sz="8" w:space="0" w:color="BFBFBF" w:themeColor="background1" w:themeShade="BF"/>
            </w:tcBorders>
            <w:vAlign w:val="center"/>
          </w:tcPr>
          <w:p w14:paraId="21D97D48" w14:textId="4F4A9034" w:rsidR="00B35B7E"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Das Projekt unterstrich die Bedeutung der Standortanalyse und des Feedbacks der Stakeholdergruppen für den Einsatz effektiver Ladelösungen.</w:t>
            </w:r>
          </w:p>
        </w:tc>
      </w:tr>
      <w:tr w:rsidR="00B35B7E" w14:paraId="00064076"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FAZIT UND EMPFEHLUNGEN</w:t>
            </w:r>
          </w:p>
        </w:tc>
      </w:tr>
      <w:tr w:rsidR="00B35B7E" w14:paraId="4F4A398D" w14:textId="77777777" w:rsidTr="007036A2">
        <w:trPr>
          <w:trHeight w:val="1330"/>
        </w:trPr>
        <w:tc>
          <w:tcPr>
            <w:tcW w:w="10780" w:type="dxa"/>
            <w:gridSpan w:val="2"/>
            <w:tcBorders>
              <w:top w:val="single" w:sz="8" w:space="0" w:color="BFBFBF" w:themeColor="background1" w:themeShade="BF"/>
            </w:tcBorders>
            <w:vAlign w:val="center"/>
          </w:tcPr>
          <w:p w14:paraId="15894C8B" w14:textId="4DC732EA" w:rsidR="00B35B7E"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Die Fallstudie kommt zu dem Schluss, dass die Strategie von Positive Charge die Effizienz des Ladens von Elektrofahrzeugen in Stadtgebieten erheblich verbessert hat. Wir empfehlen die Erkundung von Optionen für erneuerbare Energien, um die Nachhaltigkeit zu fördern.</w:t>
            </w:r>
          </w:p>
        </w:tc>
      </w:tr>
      <w:tr w:rsidR="00B35B7E" w14:paraId="44F9CD78"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ANHÄNGE UND REFERENZEN</w:t>
            </w:r>
          </w:p>
        </w:tc>
      </w:tr>
      <w:tr w:rsidR="00B35B7E" w14:paraId="087E0D08" w14:textId="77777777" w:rsidTr="002160F0">
        <w:trPr>
          <w:trHeight w:val="925"/>
        </w:trPr>
        <w:tc>
          <w:tcPr>
            <w:tcW w:w="10780" w:type="dxa"/>
            <w:gridSpan w:val="2"/>
            <w:tcBorders>
              <w:top w:val="single" w:sz="8" w:space="0" w:color="BFBFBF" w:themeColor="background1" w:themeShade="BF"/>
            </w:tcBorders>
            <w:vAlign w:val="center"/>
          </w:tcPr>
          <w:p w14:paraId="37C7D689" w14:textId="3A670AE7" w:rsidR="00B35B7E"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Enthalten sind detaillierte Verkehrsstudien, Transkripte von Stakeholder-Befragungen und eine Finanzanalyse des Projekts.</w:t>
            </w:r>
          </w:p>
        </w:tc>
      </w:tr>
    </w:tbl>
    <w:p w14:paraId="0CDE6A7F" w14:textId="77777777" w:rsidR="002D4865" w:rsidRDefault="002D4865">
      <w:pPr>
        <w:rPr>
          <w:rFonts w:ascii="Century Gothic" w:hAnsi="Century Gothic"/>
          <w:b/>
          <w:bCs/>
          <w:color w:val="595959" w:themeColor="text1" w:themeTint="A6"/>
          <w:sz w:val="24"/>
          <w:szCs w:val="24"/>
        </w:rPr>
      </w:pPr>
    </w:p>
    <w:p w14:paraId="2CDF54F2" w14:textId="77777777" w:rsidR="002160F0" w:rsidRPr="003D706E" w:rsidRDefault="002160F0" w:rsidP="002160F0">
      <w:pPr>
        <w:rPr>
          <w:rFonts w:ascii="Century Gothic" w:hAnsi="Century Gothic" w:cs="Arial"/>
          <w:b/>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7538E">
        <w:trPr>
          <w:trHeight w:val="2706"/>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Pr>
                <w:rFonts w:ascii="Century Gothic" w:hAnsi="Century Gothic"/>
                <w:b/>
                <w:color w:val="000000" w:themeColor="text1"/>
                <w:sz w:val="20"/>
              </w:rPr>
              <w:lastRenderedPageBreak/>
              <w:t>HAFTUNGSAUSSCHLUSS</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Pr>
                <w:rFonts w:ascii="Century Gothic" w:hAnsi="Century Gothic"/>
                <w:color w:val="000000" w:themeColor="text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CD70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8BFCA" w14:textId="77777777" w:rsidR="00574216" w:rsidRDefault="00574216" w:rsidP="00F57C6B">
      <w:pPr>
        <w:spacing w:after="0" w:line="240" w:lineRule="auto"/>
      </w:pPr>
      <w:r>
        <w:separator/>
      </w:r>
    </w:p>
  </w:endnote>
  <w:endnote w:type="continuationSeparator" w:id="0">
    <w:p w14:paraId="30CEC1C7" w14:textId="77777777" w:rsidR="00574216" w:rsidRDefault="00574216" w:rsidP="00F5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D584A" w14:textId="77777777" w:rsidR="00574216" w:rsidRDefault="00574216" w:rsidP="00F57C6B">
      <w:pPr>
        <w:spacing w:after="0" w:line="240" w:lineRule="auto"/>
      </w:pPr>
      <w:r>
        <w:separator/>
      </w:r>
    </w:p>
  </w:footnote>
  <w:footnote w:type="continuationSeparator" w:id="0">
    <w:p w14:paraId="3D0F46ED" w14:textId="77777777" w:rsidR="00574216" w:rsidRDefault="00574216" w:rsidP="00F57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53232"/>
    <w:rsid w:val="00113FF4"/>
    <w:rsid w:val="00144D6A"/>
    <w:rsid w:val="002160F0"/>
    <w:rsid w:val="0022017E"/>
    <w:rsid w:val="0022798B"/>
    <w:rsid w:val="002B3FBA"/>
    <w:rsid w:val="002D4865"/>
    <w:rsid w:val="00392C70"/>
    <w:rsid w:val="00531DFD"/>
    <w:rsid w:val="00574216"/>
    <w:rsid w:val="00630A43"/>
    <w:rsid w:val="007036A2"/>
    <w:rsid w:val="0075548A"/>
    <w:rsid w:val="00820BE6"/>
    <w:rsid w:val="00830A65"/>
    <w:rsid w:val="008571B2"/>
    <w:rsid w:val="008E1D47"/>
    <w:rsid w:val="008E24CD"/>
    <w:rsid w:val="00931CDE"/>
    <w:rsid w:val="009D4580"/>
    <w:rsid w:val="00A93C31"/>
    <w:rsid w:val="00AC19B8"/>
    <w:rsid w:val="00B35B7E"/>
    <w:rsid w:val="00B5159F"/>
    <w:rsid w:val="00C02E76"/>
    <w:rsid w:val="00C17975"/>
    <w:rsid w:val="00C61B0A"/>
    <w:rsid w:val="00CD70BC"/>
    <w:rsid w:val="00CF7DE9"/>
    <w:rsid w:val="00D2241B"/>
    <w:rsid w:val="00DD72D2"/>
    <w:rsid w:val="00DE279A"/>
    <w:rsid w:val="00EE26A4"/>
    <w:rsid w:val="00F23EF7"/>
    <w:rsid w:val="00F57C6B"/>
    <w:rsid w:val="00F74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C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7C6B"/>
  </w:style>
  <w:style w:type="paragraph" w:styleId="Footer">
    <w:name w:val="footer"/>
    <w:basedOn w:val="Normal"/>
    <w:link w:val="FooterChar"/>
    <w:uiPriority w:val="99"/>
    <w:unhideWhenUsed/>
    <w:rsid w:val="00F57C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3309</Characters>
  <Application>Microsoft Office Word</Application>
  <DocSecurity>0</DocSecurity>
  <Lines>157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11</cp:revision>
  <dcterms:created xsi:type="dcterms:W3CDTF">2024-02-12T05:03:00Z</dcterms:created>
  <dcterms:modified xsi:type="dcterms:W3CDTF">2025-01-06T07:13:00Z</dcterms:modified>
</cp:coreProperties>
</file>