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6507" w14:textId="278307A6" w:rsidR="004C19DF" w:rsidRPr="00D043FC" w:rsidRDefault="004C19DF" w:rsidP="00C55EFE">
      <w:pPr>
        <w:rPr>
          <w:rFonts w:ascii="Century Gothic" w:hAnsi="Century Gothic" w:cs="Arial"/>
          <w:b/>
          <w:color w:val="595959" w:themeColor="text1" w:themeTint="A6"/>
          <w:sz w:val="44"/>
          <w:szCs w:val="44"/>
        </w:rPr>
      </w:pPr>
      <w:r w:rsidRPr="00D043FC">
        <w:rPr>
          <w:rFonts w:ascii="Century Gothic" w:hAnsi="Century Gothic"/>
          <w:b/>
          <w:bCs/>
          <w:noProof/>
          <w:color w:val="595959" w:themeColor="text1" w:themeTint="A6"/>
          <w:sz w:val="44"/>
          <w:szCs w:val="44"/>
        </w:rPr>
        <w:drawing>
          <wp:anchor distT="0" distB="0" distL="114300" distR="114300" simplePos="0" relativeHeight="253657600" behindDoc="0" locked="0" layoutInCell="1" allowOverlap="1" wp14:anchorId="46C9502D" wp14:editId="0722CA27">
            <wp:simplePos x="0" y="0"/>
            <wp:positionH relativeFrom="margin">
              <wp:posOffset>4921250</wp:posOffset>
            </wp:positionH>
            <wp:positionV relativeFrom="paragraph">
              <wp:posOffset>79375</wp:posOffset>
            </wp:positionV>
            <wp:extent cx="2301240" cy="457200"/>
            <wp:effectExtent l="0" t="0" r="3810" b="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01240"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VORLAGE FÜR EIN STANDARD </w:t>
      </w:r>
      <w:r w:rsidR="00D043FC" w:rsidRPr="00D043FC">
        <w:rPr>
          <w:rFonts w:ascii="Century Gothic" w:hAnsi="Century Gothic"/>
          <w:b/>
          <w:color w:val="595959" w:themeColor="text1" w:themeTint="A6"/>
          <w:sz w:val="44"/>
          <w:szCs w:val="44"/>
        </w:rPr>
        <w:br/>
      </w:r>
      <w:r>
        <w:rPr>
          <w:rFonts w:ascii="Century Gothic" w:hAnsi="Century Gothic"/>
          <w:b/>
          <w:color w:val="595959" w:themeColor="text1" w:themeTint="A6"/>
          <w:sz w:val="44"/>
        </w:rPr>
        <w:t xml:space="preserve">BUSINESS MODEL CANVAS </w:t>
      </w:r>
      <w:r w:rsidRPr="00D043FC">
        <w:rPr>
          <w:rFonts w:ascii="Century Gothic" w:hAnsi="Century Gothic"/>
          <w:b/>
          <w:color w:val="595959" w:themeColor="text1" w:themeTint="A6"/>
          <w:sz w:val="44"/>
          <w:szCs w:val="44"/>
        </w:rPr>
        <w:br/>
      </w:r>
      <w:r>
        <w:rPr>
          <w:rFonts w:ascii="Century Gothic" w:hAnsi="Century Gothic"/>
          <w:b/>
          <w:color w:val="595959" w:themeColor="text1" w:themeTint="A6"/>
          <w:sz w:val="44"/>
        </w:rPr>
        <w:t>für Microsoft Word (BEISPIEL)</w:t>
      </w:r>
    </w:p>
    <w:p w14:paraId="22431141" w14:textId="77777777" w:rsidR="00D043FC" w:rsidRDefault="00D043FC" w:rsidP="00C55EFE">
      <w:pPr>
        <w:rPr>
          <w:rFonts w:ascii="Century Gothic" w:hAnsi="Century Gothic" w:cs="Arial"/>
          <w:b/>
          <w:color w:val="595959" w:themeColor="text1" w:themeTint="A6"/>
          <w:sz w:val="16"/>
          <w:szCs w:val="16"/>
        </w:rPr>
      </w:pPr>
    </w:p>
    <w:p w14:paraId="61497D7B" w14:textId="5EEA8056" w:rsidR="00D043FC" w:rsidRPr="00D043FC" w:rsidRDefault="00D043FC" w:rsidP="00D043FC">
      <w:pPr>
        <w:jc w:val="both"/>
        <w:rPr>
          <w:rFonts w:ascii="Century Gothic" w:hAnsi="Century Gothic" w:cs="Arial"/>
          <w:bCs/>
          <w:color w:val="595959" w:themeColor="text1" w:themeTint="A6"/>
          <w:sz w:val="20"/>
          <w:szCs w:val="20"/>
        </w:rPr>
      </w:pPr>
      <w:r>
        <w:rPr>
          <w:rFonts w:ascii="Century Gothic" w:hAnsi="Century Gothic"/>
          <w:color w:val="595959" w:themeColor="text1" w:themeTint="A6"/>
          <w:sz w:val="20"/>
        </w:rPr>
        <w:t>In den folgenden Abschnitten lassen sich alle wichtigen Bestandteile Ihres Geschäftsmodells darstellen. Hiermit erhalten Sie einen ganzheitlichen Überblick darüber, wie Ihr Unternehmen funktioniert und wie es Wert schafft und liefert.</w:t>
      </w:r>
    </w:p>
    <w:p w14:paraId="21820BF9" w14:textId="77777777" w:rsidR="004C19DF" w:rsidRPr="004C19DF" w:rsidRDefault="004C19DF" w:rsidP="00C55EFE">
      <w:pPr>
        <w:rPr>
          <w:rFonts w:ascii="Century Gothic" w:hAnsi="Century Gothic" w:cs="Arial"/>
          <w:b/>
          <w:color w:val="808080" w:themeColor="background1" w:themeShade="80"/>
        </w:rPr>
      </w:pPr>
    </w:p>
    <w:tbl>
      <w:tblPr>
        <w:tblW w:w="11425" w:type="dxa"/>
        <w:tblBorders>
          <w:top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
        <w:gridCol w:w="11375"/>
        <w:gridCol w:w="25"/>
      </w:tblGrid>
      <w:tr w:rsidR="004701B8" w:rsidRPr="008942B0" w14:paraId="6E56AF9D"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tcPr>
          <w:p w14:paraId="7C629E0F" w14:textId="1BEDDEC0" w:rsidR="004701B8" w:rsidRPr="004701B8" w:rsidRDefault="004701B8"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WICHTIGE PARTNERSCHAFTEN</w:t>
            </w:r>
          </w:p>
        </w:tc>
      </w:tr>
      <w:tr w:rsidR="008942B0" w:rsidRPr="008942B0" w14:paraId="3B03EBFC" w14:textId="77777777" w:rsidTr="004701B8">
        <w:trPr>
          <w:gridAfter w:val="1"/>
          <w:wAfter w:w="25" w:type="dxa"/>
          <w:trHeight w:val="800"/>
        </w:trPr>
        <w:tc>
          <w:tcPr>
            <w:tcW w:w="11400" w:type="dxa"/>
            <w:gridSpan w:val="2"/>
            <w:tcBorders>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hideMark/>
          </w:tcPr>
          <w:p w14:paraId="1523322E" w14:textId="7AEB79CA" w:rsidR="00D043FC"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Wichtige Partnerschaften umfassen die Zusammenarbeit mit lokalen Behörden bei der Installation von Ladestationen, mit Anbietern erneuerbarer Energien und mit Herstellern von Elektrofahrzeugen.</w:t>
            </w:r>
          </w:p>
        </w:tc>
      </w:tr>
      <w:tr w:rsidR="004701B8" w:rsidRPr="008942B0" w14:paraId="6F5E0270" w14:textId="77777777" w:rsidTr="004701B8">
        <w:trPr>
          <w:gridAfter w:val="1"/>
          <w:wAfter w:w="25" w:type="dxa"/>
          <w:trHeight w:val="188"/>
        </w:trPr>
        <w:tc>
          <w:tcPr>
            <w:tcW w:w="1140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4879452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57F4A8CF"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20F81D4" w14:textId="4EC26A89"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WICHTIGE AKTIVITÄTEN</w:t>
            </w:r>
          </w:p>
        </w:tc>
      </w:tr>
      <w:tr w:rsidR="004701B8" w:rsidRPr="008942B0" w14:paraId="42967AB3" w14:textId="77777777" w:rsidTr="004701B8">
        <w:trPr>
          <w:gridAfter w:val="1"/>
          <w:wAfter w:w="25" w:type="dxa"/>
          <w:trHeight w:val="800"/>
        </w:trPr>
        <w:tc>
          <w:tcPr>
            <w:tcW w:w="11400" w:type="dxa"/>
            <w:gridSpan w:val="2"/>
            <w:tcBorders>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1556EB88" w14:textId="14496081"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Wichtige Aktivitäten umfassen den Betrieb und die Wartung von Ladestationen für Elektrofahrzeuge, Kundenservice-Management und kontinuierliche technologische Upgrades für einen effizienten Service.</w:t>
            </w:r>
          </w:p>
        </w:tc>
      </w:tr>
      <w:tr w:rsidR="004701B8" w:rsidRPr="004701B8" w14:paraId="613A40AD" w14:textId="77777777" w:rsidTr="004701B8">
        <w:trPr>
          <w:gridAfter w:val="1"/>
          <w:wAfter w:w="25" w:type="dxa"/>
          <w:trHeight w:val="107"/>
        </w:trPr>
        <w:tc>
          <w:tcPr>
            <w:tcW w:w="11400" w:type="dxa"/>
            <w:gridSpan w:val="2"/>
            <w:tcBorders>
              <w:top w:val="single" w:sz="4" w:space="0" w:color="BFBFBF" w:themeColor="background1" w:themeShade="BF"/>
            </w:tcBorders>
            <w:shd w:val="clear" w:color="auto" w:fill="auto"/>
            <w:vAlign w:val="center"/>
          </w:tcPr>
          <w:p w14:paraId="13BD5388" w14:textId="6640068C" w:rsidR="004701B8" w:rsidRPr="004701B8" w:rsidRDefault="004701B8" w:rsidP="005C7016">
            <w:pPr>
              <w:rPr>
                <w:rFonts w:ascii="Century Gothic" w:eastAsia="Times New Roman" w:hAnsi="Century Gothic" w:cs="Calibri"/>
                <w:color w:val="595959" w:themeColor="text1" w:themeTint="A6"/>
                <w:sz w:val="20"/>
                <w:szCs w:val="20"/>
              </w:rPr>
            </w:pPr>
          </w:p>
        </w:tc>
      </w:tr>
      <w:tr w:rsidR="008942B0" w:rsidRPr="008942B0" w14:paraId="3BAF3F2B"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145FD65C" w14:textId="01C0A9C7"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WICHTIGSTE RESSOURCEN</w:t>
            </w:r>
          </w:p>
        </w:tc>
      </w:tr>
      <w:tr w:rsidR="004701B8" w:rsidRPr="008942B0" w14:paraId="750C917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4429075F" w14:textId="7C30DDED" w:rsidR="004701B8" w:rsidRPr="004701B8" w:rsidRDefault="00381E22" w:rsidP="004701B8">
            <w:pPr>
              <w:rPr>
                <w:rFonts w:ascii="Century Gothic" w:eastAsia="Times New Roman" w:hAnsi="Century Gothic" w:cs="Calibri"/>
                <w:color w:val="595959" w:themeColor="text1" w:themeTint="A6"/>
                <w:sz w:val="20"/>
                <w:szCs w:val="20"/>
              </w:rPr>
            </w:pPr>
            <w:r>
              <w:rPr>
                <w:rFonts w:ascii="Century Gothic" w:hAnsi="Century Gothic"/>
                <w:color w:val="595959" w:themeColor="text1" w:themeTint="A6"/>
                <w:sz w:val="20"/>
              </w:rPr>
              <w:t>Die wichtigsten Ressourcen umfassen unser Netzwerk aus Ladestationen, unsere proprietäre Ladetechnologie, unser qualifiziertes Technikteam und unsere Infrastruktur für den Kundensupport.</w:t>
            </w:r>
          </w:p>
        </w:tc>
      </w:tr>
      <w:tr w:rsidR="004701B8" w:rsidRPr="008942B0" w14:paraId="18D98731" w14:textId="77777777" w:rsidTr="004701B8">
        <w:tblPrEx>
          <w:tblBorders>
            <w:top w:val="none" w:sz="0" w:space="0" w:color="auto"/>
            <w:insideH w:val="none" w:sz="0" w:space="0" w:color="auto"/>
            <w:insideV w:val="none" w:sz="0" w:space="0" w:color="auto"/>
          </w:tblBorders>
        </w:tblPrEx>
        <w:trPr>
          <w:gridBefore w:val="1"/>
          <w:wBefore w:w="25" w:type="dxa"/>
          <w:trHeight w:val="98"/>
        </w:trPr>
        <w:tc>
          <w:tcPr>
            <w:tcW w:w="11400" w:type="dxa"/>
            <w:gridSpan w:val="2"/>
            <w:tcBorders>
              <w:top w:val="single" w:sz="4" w:space="0" w:color="BFBFBF" w:themeColor="background1" w:themeShade="BF"/>
            </w:tcBorders>
            <w:shd w:val="clear" w:color="auto" w:fill="auto"/>
            <w:vAlign w:val="center"/>
          </w:tcPr>
          <w:p w14:paraId="297F6F32" w14:textId="77777777" w:rsidR="004701B8" w:rsidRPr="004701B8" w:rsidRDefault="004701B8" w:rsidP="004701B8">
            <w:pPr>
              <w:rPr>
                <w:rFonts w:ascii="Century Gothic" w:eastAsia="Times New Roman" w:hAnsi="Century Gothic" w:cs="Calibri"/>
                <w:color w:val="595959" w:themeColor="text1" w:themeTint="A6"/>
                <w:sz w:val="20"/>
                <w:szCs w:val="20"/>
              </w:rPr>
            </w:pPr>
          </w:p>
        </w:tc>
      </w:tr>
      <w:tr w:rsidR="008942B0" w:rsidRPr="008942B0" w14:paraId="45C102F1"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7EF630F4" w14:textId="44A9E7F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WERTVERSPRECHEN</w:t>
            </w:r>
          </w:p>
        </w:tc>
      </w:tr>
      <w:tr w:rsidR="004701B8" w:rsidRPr="008942B0" w14:paraId="777C072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61B4FDDE" w14:textId="64D4397C"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Wir bieten schnelle, zuverlässige und umweltfreundliche Ladelösungen für Besitzer*innen von Elektrofahrzeugen mit erstklassigem Kundenservice und fortschrittlicher Technologie.</w:t>
            </w:r>
          </w:p>
        </w:tc>
      </w:tr>
      <w:tr w:rsidR="004701B8" w:rsidRPr="008942B0" w14:paraId="08DA149B" w14:textId="77777777" w:rsidTr="004701B8">
        <w:tblPrEx>
          <w:tblBorders>
            <w:top w:val="none" w:sz="0" w:space="0" w:color="auto"/>
            <w:insideH w:val="none" w:sz="0" w:space="0" w:color="auto"/>
            <w:insideV w:val="none" w:sz="0" w:space="0" w:color="auto"/>
          </w:tblBorders>
        </w:tblPrEx>
        <w:trPr>
          <w:gridBefore w:val="1"/>
          <w:wBefore w:w="25" w:type="dxa"/>
          <w:trHeight w:val="70"/>
        </w:trPr>
        <w:tc>
          <w:tcPr>
            <w:tcW w:w="11400" w:type="dxa"/>
            <w:gridSpan w:val="2"/>
            <w:tcBorders>
              <w:top w:val="single" w:sz="4" w:space="0" w:color="BFBFBF" w:themeColor="background1" w:themeShade="BF"/>
            </w:tcBorders>
            <w:shd w:val="clear" w:color="auto" w:fill="auto"/>
            <w:vAlign w:val="center"/>
          </w:tcPr>
          <w:p w14:paraId="4F29923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4399040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DEBA155" w14:textId="7BA8A79D"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KUNDENBEZIEHUNGEN</w:t>
            </w:r>
          </w:p>
        </w:tc>
      </w:tr>
      <w:tr w:rsidR="004701B8" w:rsidRPr="008942B0" w14:paraId="0C4E880D"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05E70F9C" w14:textId="07A4482E"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Durch zuverlässigen Service, Kundenbindungsprogramme und reaktionsschnellen Support bauen wir Loyalität bei unseren Kund*innen auf.</w:t>
            </w:r>
          </w:p>
        </w:tc>
      </w:tr>
      <w:tr w:rsidR="004701B8" w:rsidRPr="008942B0" w14:paraId="30E9F535" w14:textId="77777777" w:rsidTr="004701B8">
        <w:tblPrEx>
          <w:tblBorders>
            <w:top w:val="none" w:sz="0" w:space="0" w:color="auto"/>
            <w:insideH w:val="none" w:sz="0" w:space="0" w:color="auto"/>
            <w:insideV w:val="none" w:sz="0" w:space="0" w:color="auto"/>
          </w:tblBorders>
        </w:tblPrEx>
        <w:trPr>
          <w:gridBefore w:val="1"/>
          <w:wBefore w:w="25" w:type="dxa"/>
          <w:trHeight w:val="152"/>
        </w:trPr>
        <w:tc>
          <w:tcPr>
            <w:tcW w:w="11400" w:type="dxa"/>
            <w:gridSpan w:val="2"/>
            <w:tcBorders>
              <w:top w:val="single" w:sz="4" w:space="0" w:color="BFBFBF" w:themeColor="background1" w:themeShade="BF"/>
            </w:tcBorders>
            <w:shd w:val="clear" w:color="auto" w:fill="auto"/>
            <w:vAlign w:val="center"/>
          </w:tcPr>
          <w:p w14:paraId="41248408"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0CDEF49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BC5C338" w14:textId="0CFE7284"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KANÄLE</w:t>
            </w:r>
          </w:p>
        </w:tc>
      </w:tr>
      <w:tr w:rsidR="004701B8" w:rsidRPr="008942B0" w14:paraId="413151C7"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37EAAE66" w14:textId="442C352A" w:rsidR="004701B8" w:rsidRPr="004701B8" w:rsidRDefault="00381E22"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Wir bieten Service-Zugriff über unsere mobile App, Reservierungen und Zahlungen über unsere Online-Plattformen sowie strategisch günstig gelegene Ladestationen.</w:t>
            </w:r>
          </w:p>
        </w:tc>
      </w:tr>
      <w:tr w:rsidR="004701B8" w:rsidRPr="008942B0" w14:paraId="77FDDC1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tcBorders>
            <w:shd w:val="clear" w:color="auto" w:fill="auto"/>
            <w:vAlign w:val="center"/>
          </w:tcPr>
          <w:p w14:paraId="6731AE70"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316D1028"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25FE8CD2" w14:textId="74D125FE"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lastRenderedPageBreak/>
              <w:t>KUNDENSEGMENTE</w:t>
            </w:r>
          </w:p>
        </w:tc>
      </w:tr>
      <w:tr w:rsidR="004701B8" w:rsidRPr="008942B0" w14:paraId="71041CCF"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53EE1E10" w14:textId="110BD7E3"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Unsere Zielgruppen sind private Besitzer*innen von Elektrofahrzeugen, gewerbliche Flotten und Regierungsfahrzeuge, die regelmäßig aufgeladen werden müssen.</w:t>
            </w:r>
          </w:p>
        </w:tc>
      </w:tr>
      <w:tr w:rsidR="004701B8" w:rsidRPr="008942B0" w14:paraId="4EC06352" w14:textId="77777777" w:rsidTr="004701B8">
        <w:tblPrEx>
          <w:tblBorders>
            <w:top w:val="none" w:sz="0" w:space="0" w:color="auto"/>
            <w:insideH w:val="none" w:sz="0" w:space="0" w:color="auto"/>
            <w:insideV w:val="none" w:sz="0" w:space="0" w:color="auto"/>
          </w:tblBorders>
        </w:tblPrEx>
        <w:trPr>
          <w:gridBefore w:val="1"/>
          <w:wBefore w:w="25" w:type="dxa"/>
          <w:trHeight w:val="260"/>
        </w:trPr>
        <w:tc>
          <w:tcPr>
            <w:tcW w:w="11400" w:type="dxa"/>
            <w:gridSpan w:val="2"/>
            <w:tcBorders>
              <w:top w:val="single" w:sz="4" w:space="0" w:color="BFBFBF" w:themeColor="background1" w:themeShade="BF"/>
            </w:tcBorders>
            <w:shd w:val="clear" w:color="auto" w:fill="auto"/>
            <w:vAlign w:val="center"/>
          </w:tcPr>
          <w:p w14:paraId="08A5768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7BA7D71C"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6A178E7" w14:textId="5D77F0FF"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KOSTENSTRUKTUR</w:t>
            </w:r>
          </w:p>
        </w:tc>
      </w:tr>
      <w:tr w:rsidR="004701B8" w:rsidRPr="008942B0" w14:paraId="202477F0"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767171" w:themeColor="background2" w:themeShade="80"/>
              <w:bottom w:val="single" w:sz="4" w:space="0" w:color="BFBFBF" w:themeColor="background1" w:themeShade="BF"/>
              <w:right w:val="single" w:sz="4" w:space="0" w:color="BFBFBF" w:themeColor="background1" w:themeShade="BF"/>
            </w:tcBorders>
            <w:shd w:val="clear" w:color="auto" w:fill="auto"/>
            <w:vAlign w:val="center"/>
          </w:tcPr>
          <w:p w14:paraId="280698E6" w14:textId="3C148D43"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Unsere Kosten umfassen Investitionen in die Ladestation-Infrastruktur, Technologieentwicklung sowie Personal- und Marketingausgaben.</w:t>
            </w:r>
          </w:p>
        </w:tc>
      </w:tr>
      <w:tr w:rsidR="004701B8" w:rsidRPr="008942B0" w14:paraId="4EAC016E" w14:textId="77777777" w:rsidTr="004701B8">
        <w:tblPrEx>
          <w:tblBorders>
            <w:top w:val="none" w:sz="0" w:space="0" w:color="auto"/>
            <w:insideH w:val="none" w:sz="0" w:space="0" w:color="auto"/>
            <w:insideV w:val="none" w:sz="0" w:space="0" w:color="auto"/>
          </w:tblBorders>
        </w:tblPrEx>
        <w:trPr>
          <w:gridBefore w:val="1"/>
          <w:wBefore w:w="25" w:type="dxa"/>
          <w:trHeight w:val="170"/>
        </w:trPr>
        <w:tc>
          <w:tcPr>
            <w:tcW w:w="11400" w:type="dxa"/>
            <w:gridSpan w:val="2"/>
            <w:tcBorders>
              <w:top w:val="single" w:sz="4" w:space="0" w:color="BFBFBF" w:themeColor="background1" w:themeShade="BF"/>
            </w:tcBorders>
            <w:shd w:val="clear" w:color="auto" w:fill="auto"/>
            <w:vAlign w:val="center"/>
          </w:tcPr>
          <w:p w14:paraId="2D631F14" w14:textId="77777777" w:rsidR="004701B8" w:rsidRPr="004701B8" w:rsidRDefault="004701B8" w:rsidP="004701B8">
            <w:pPr>
              <w:rPr>
                <w:rFonts w:ascii="Century Gothic" w:hAnsi="Century Gothic" w:cs="Arial"/>
                <w:bCs/>
                <w:color w:val="595959" w:themeColor="text1" w:themeTint="A6"/>
                <w:sz w:val="20"/>
                <w:szCs w:val="20"/>
              </w:rPr>
            </w:pPr>
          </w:p>
        </w:tc>
      </w:tr>
      <w:tr w:rsidR="008942B0" w:rsidRPr="008942B0" w14:paraId="59EC193E"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DEEAF6" w:themeFill="accent5" w:themeFillTint="33"/>
            <w:vAlign w:val="center"/>
            <w:hideMark/>
          </w:tcPr>
          <w:p w14:paraId="31D52B55" w14:textId="0F955351" w:rsidR="00D043FC" w:rsidRPr="004701B8" w:rsidRDefault="00D043FC" w:rsidP="004701B8">
            <w:pPr>
              <w:rPr>
                <w:rFonts w:ascii="Century Gothic" w:eastAsia="Times New Roman" w:hAnsi="Century Gothic" w:cs="Calibri"/>
                <w:color w:val="595959" w:themeColor="text1" w:themeTint="A6"/>
                <w:sz w:val="32"/>
                <w:szCs w:val="32"/>
              </w:rPr>
            </w:pPr>
            <w:r>
              <w:rPr>
                <w:rFonts w:ascii="Century Gothic" w:hAnsi="Century Gothic"/>
                <w:color w:val="595959" w:themeColor="text1" w:themeTint="A6"/>
                <w:sz w:val="32"/>
              </w:rPr>
              <w:t>EINNAHMEQUELLEN</w:t>
            </w:r>
          </w:p>
        </w:tc>
      </w:tr>
      <w:tr w:rsidR="004701B8" w:rsidRPr="008942B0" w14:paraId="7C04D353" w14:textId="77777777" w:rsidTr="004701B8">
        <w:tblPrEx>
          <w:tblBorders>
            <w:top w:val="none" w:sz="0" w:space="0" w:color="auto"/>
            <w:insideH w:val="none" w:sz="0" w:space="0" w:color="auto"/>
            <w:insideV w:val="none" w:sz="0" w:space="0" w:color="auto"/>
          </w:tblBorders>
        </w:tblPrEx>
        <w:trPr>
          <w:gridBefore w:val="1"/>
          <w:wBefore w:w="25" w:type="dxa"/>
          <w:trHeight w:val="800"/>
        </w:trPr>
        <w:tc>
          <w:tcPr>
            <w:tcW w:w="11400" w:type="dxa"/>
            <w:gridSpan w:val="2"/>
            <w:tcBorders>
              <w:top w:val="single" w:sz="4" w:space="0" w:color="BFBFBF" w:themeColor="background1" w:themeShade="BF"/>
              <w:left w:val="single" w:sz="24" w:space="0" w:color="2E74B5" w:themeColor="accent5" w:themeShade="BF"/>
              <w:bottom w:val="single" w:sz="4" w:space="0" w:color="BFBFBF" w:themeColor="background1" w:themeShade="BF"/>
              <w:right w:val="single" w:sz="4" w:space="0" w:color="BFBFBF" w:themeColor="background1" w:themeShade="BF"/>
            </w:tcBorders>
            <w:shd w:val="clear" w:color="auto" w:fill="auto"/>
            <w:vAlign w:val="center"/>
          </w:tcPr>
          <w:p w14:paraId="29389DA7" w14:textId="7D610ADE" w:rsidR="004701B8" w:rsidRPr="004701B8" w:rsidRDefault="00063C0D" w:rsidP="004701B8">
            <w:pPr>
              <w:rPr>
                <w:rFonts w:ascii="Century Gothic" w:hAnsi="Century Gothic" w:cs="Arial"/>
                <w:bCs/>
                <w:color w:val="595959" w:themeColor="text1" w:themeTint="A6"/>
                <w:sz w:val="20"/>
                <w:szCs w:val="20"/>
              </w:rPr>
            </w:pPr>
            <w:r>
              <w:rPr>
                <w:rFonts w:ascii="Century Gothic" w:hAnsi="Century Gothic"/>
                <w:color w:val="595959" w:themeColor="text1" w:themeTint="A6"/>
                <w:sz w:val="20"/>
              </w:rPr>
              <w:t>Unsere Einnahmequellen umfassen Gebühren für Ladeservices, Abonnements für häufige Benutzer*innen und Partnerschaften für die Installation von Ladestationen.</w:t>
            </w:r>
          </w:p>
        </w:tc>
      </w:tr>
    </w:tbl>
    <w:p w14:paraId="15C73131" w14:textId="15B6D6DB" w:rsidR="00D043FC" w:rsidRPr="008942B0" w:rsidRDefault="00D043FC">
      <w:pPr>
        <w:rPr>
          <w:rFonts w:ascii="Century Gothic" w:hAnsi="Century Gothic" w:cs="Arial"/>
          <w:bCs/>
          <w:color w:val="595959" w:themeColor="text1" w:themeTint="A6"/>
        </w:rPr>
      </w:pPr>
      <w:r w:rsidRPr="008942B0">
        <w:rPr>
          <w:rFonts w:ascii="Century Gothic" w:hAnsi="Century Gothic"/>
          <w:bCs/>
          <w:color w:val="595959" w:themeColor="text1" w:themeTint="A6"/>
        </w:rPr>
        <w:br w:type="page"/>
      </w:r>
    </w:p>
    <w:p w14:paraId="54E8D471" w14:textId="77777777" w:rsidR="00D043FC" w:rsidRDefault="00D043FC" w:rsidP="004C19DF"/>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C19DF" w14:paraId="4F46793F" w14:textId="77777777" w:rsidTr="000712FA">
        <w:trPr>
          <w:trHeight w:val="2855"/>
        </w:trPr>
        <w:tc>
          <w:tcPr>
            <w:tcW w:w="10669" w:type="dxa"/>
            <w:tcBorders>
              <w:top w:val="nil"/>
              <w:left w:val="single" w:sz="24" w:space="0" w:color="BFBFBF" w:themeColor="background1" w:themeShade="BF"/>
              <w:bottom w:val="nil"/>
              <w:right w:val="nil"/>
            </w:tcBorders>
          </w:tcPr>
          <w:p w14:paraId="69E7C1CE" w14:textId="77777777" w:rsidR="004C19DF" w:rsidRPr="00EC5483" w:rsidRDefault="004C19DF" w:rsidP="007F1ED8">
            <w:pPr>
              <w:jc w:val="center"/>
              <w:rPr>
                <w:rFonts w:ascii="Century Gothic" w:hAnsi="Century Gothic" w:cs="Arial"/>
                <w:b/>
                <w:szCs w:val="20"/>
              </w:rPr>
            </w:pPr>
            <w:r>
              <w:rPr>
                <w:rFonts w:ascii="Century Gothic" w:hAnsi="Century Gothic"/>
                <w:b/>
              </w:rPr>
              <w:t>HAFTUNGSAUSSCHLUSS</w:t>
            </w:r>
          </w:p>
          <w:p w14:paraId="7B02EE06" w14:textId="77777777" w:rsidR="004C19DF" w:rsidRPr="00EC5483" w:rsidRDefault="004C19DF" w:rsidP="007F1ED8">
            <w:pPr>
              <w:rPr>
                <w:rFonts w:ascii="Century Gothic" w:hAnsi="Century Gothic" w:cs="Arial"/>
                <w:szCs w:val="20"/>
              </w:rPr>
            </w:pPr>
          </w:p>
          <w:p w14:paraId="3A72557D" w14:textId="77777777" w:rsidR="004C19DF" w:rsidRDefault="004C19DF" w:rsidP="007F1ED8">
            <w:pPr>
              <w:rPr>
                <w:rFonts w:cs="Arial"/>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DA641BF" w14:textId="77777777" w:rsidR="004C19DF" w:rsidRDefault="004C19DF" w:rsidP="004C19DF">
      <w:pPr>
        <w:rPr>
          <w:rFonts w:ascii="Century Gothic" w:hAnsi="Century Gothic" w:cs="Arial"/>
          <w:sz w:val="20"/>
          <w:szCs w:val="20"/>
        </w:rPr>
      </w:pPr>
    </w:p>
    <w:p w14:paraId="4E3530C0" w14:textId="77777777" w:rsidR="004C19DF" w:rsidRDefault="004C19DF" w:rsidP="004C19DF">
      <w:pPr>
        <w:rPr>
          <w:rFonts w:cs="Arial"/>
          <w:szCs w:val="20"/>
        </w:rPr>
      </w:pPr>
    </w:p>
    <w:p w14:paraId="699C12F5" w14:textId="77777777" w:rsidR="004C19DF" w:rsidRDefault="004C19DF" w:rsidP="004C19DF">
      <w:pPr>
        <w:rPr>
          <w:szCs w:val="20"/>
        </w:rPr>
      </w:pPr>
    </w:p>
    <w:p w14:paraId="23903FB6" w14:textId="77777777" w:rsidR="004C19DF" w:rsidRPr="00A10C17" w:rsidRDefault="004C19DF" w:rsidP="004C19DF"/>
    <w:p w14:paraId="03B4F873" w14:textId="77777777" w:rsidR="001534AE" w:rsidRDefault="001534AE" w:rsidP="004C19DF">
      <w:pPr>
        <w:tabs>
          <w:tab w:val="left" w:pos="3718"/>
        </w:tabs>
      </w:pPr>
    </w:p>
    <w:sectPr w:rsidR="001534AE" w:rsidSect="00874B33">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2BF4" w14:textId="77777777" w:rsidR="00891597" w:rsidRDefault="00891597" w:rsidP="004C6C01">
      <w:r>
        <w:separator/>
      </w:r>
    </w:p>
  </w:endnote>
  <w:endnote w:type="continuationSeparator" w:id="0">
    <w:p w14:paraId="34231ABC" w14:textId="77777777" w:rsidR="00891597" w:rsidRDefault="00891597"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CDA46" w14:textId="77777777" w:rsidR="00891597" w:rsidRDefault="00891597" w:rsidP="004C6C01">
      <w:r>
        <w:separator/>
      </w:r>
    </w:p>
  </w:footnote>
  <w:footnote w:type="continuationSeparator" w:id="0">
    <w:p w14:paraId="549E1E89" w14:textId="77777777" w:rsidR="00891597" w:rsidRDefault="00891597"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E1E76"/>
    <w:multiLevelType w:val="hybridMultilevel"/>
    <w:tmpl w:val="6862D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1933224">
    <w:abstractNumId w:val="6"/>
  </w:num>
  <w:num w:numId="2" w16cid:durableId="839584812">
    <w:abstractNumId w:val="8"/>
  </w:num>
  <w:num w:numId="3" w16cid:durableId="305084466">
    <w:abstractNumId w:val="2"/>
  </w:num>
  <w:num w:numId="4" w16cid:durableId="1213881445">
    <w:abstractNumId w:val="5"/>
  </w:num>
  <w:num w:numId="5" w16cid:durableId="619647340">
    <w:abstractNumId w:val="3"/>
  </w:num>
  <w:num w:numId="6" w16cid:durableId="1175345553">
    <w:abstractNumId w:val="0"/>
  </w:num>
  <w:num w:numId="7" w16cid:durableId="604382273">
    <w:abstractNumId w:val="7"/>
  </w:num>
  <w:num w:numId="8" w16cid:durableId="1711804432">
    <w:abstractNumId w:val="1"/>
  </w:num>
  <w:num w:numId="9" w16cid:durableId="1605918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9DF"/>
    <w:rsid w:val="000158A3"/>
    <w:rsid w:val="000175A9"/>
    <w:rsid w:val="00017D11"/>
    <w:rsid w:val="0004588C"/>
    <w:rsid w:val="00046F5A"/>
    <w:rsid w:val="00063C0D"/>
    <w:rsid w:val="000712FA"/>
    <w:rsid w:val="00080417"/>
    <w:rsid w:val="000D3136"/>
    <w:rsid w:val="000D3BE6"/>
    <w:rsid w:val="000D3E08"/>
    <w:rsid w:val="000D5651"/>
    <w:rsid w:val="000E4456"/>
    <w:rsid w:val="00113C3F"/>
    <w:rsid w:val="001151A7"/>
    <w:rsid w:val="00125593"/>
    <w:rsid w:val="001430C2"/>
    <w:rsid w:val="00152249"/>
    <w:rsid w:val="001534AE"/>
    <w:rsid w:val="0016438F"/>
    <w:rsid w:val="00166E8D"/>
    <w:rsid w:val="00182D40"/>
    <w:rsid w:val="00184DC2"/>
    <w:rsid w:val="00190874"/>
    <w:rsid w:val="00197AA4"/>
    <w:rsid w:val="001C29A2"/>
    <w:rsid w:val="001D3084"/>
    <w:rsid w:val="001D5095"/>
    <w:rsid w:val="00213932"/>
    <w:rsid w:val="00220080"/>
    <w:rsid w:val="00225FFA"/>
    <w:rsid w:val="0023244F"/>
    <w:rsid w:val="00246B96"/>
    <w:rsid w:val="00251A30"/>
    <w:rsid w:val="00263E5E"/>
    <w:rsid w:val="00265A6D"/>
    <w:rsid w:val="00284A82"/>
    <w:rsid w:val="00295890"/>
    <w:rsid w:val="002966C3"/>
    <w:rsid w:val="002971F3"/>
    <w:rsid w:val="002A5743"/>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401"/>
    <w:rsid w:val="00355C1F"/>
    <w:rsid w:val="00367CE5"/>
    <w:rsid w:val="00381E22"/>
    <w:rsid w:val="0039551A"/>
    <w:rsid w:val="003A371B"/>
    <w:rsid w:val="003B5EDA"/>
    <w:rsid w:val="003B789B"/>
    <w:rsid w:val="003B7DEB"/>
    <w:rsid w:val="003C0A0A"/>
    <w:rsid w:val="003C0FDB"/>
    <w:rsid w:val="003C118B"/>
    <w:rsid w:val="003C7EC2"/>
    <w:rsid w:val="003E21AC"/>
    <w:rsid w:val="003F50F4"/>
    <w:rsid w:val="00405E4D"/>
    <w:rsid w:val="00426070"/>
    <w:rsid w:val="0043640D"/>
    <w:rsid w:val="00440B96"/>
    <w:rsid w:val="00461C19"/>
    <w:rsid w:val="00464224"/>
    <w:rsid w:val="004672DC"/>
    <w:rsid w:val="004701B8"/>
    <w:rsid w:val="00471C74"/>
    <w:rsid w:val="004937B7"/>
    <w:rsid w:val="004947DB"/>
    <w:rsid w:val="004C0914"/>
    <w:rsid w:val="004C19DF"/>
    <w:rsid w:val="004C6C01"/>
    <w:rsid w:val="004D28AF"/>
    <w:rsid w:val="004E2F8A"/>
    <w:rsid w:val="005039D1"/>
    <w:rsid w:val="0050653C"/>
    <w:rsid w:val="00513F89"/>
    <w:rsid w:val="0053654E"/>
    <w:rsid w:val="005449AA"/>
    <w:rsid w:val="00567A01"/>
    <w:rsid w:val="00581117"/>
    <w:rsid w:val="00581B8D"/>
    <w:rsid w:val="005A6272"/>
    <w:rsid w:val="005C4192"/>
    <w:rsid w:val="005E672C"/>
    <w:rsid w:val="005F4987"/>
    <w:rsid w:val="00605350"/>
    <w:rsid w:val="0061672E"/>
    <w:rsid w:val="00624110"/>
    <w:rsid w:val="00625AE7"/>
    <w:rsid w:val="00662FA3"/>
    <w:rsid w:val="00663036"/>
    <w:rsid w:val="006806AD"/>
    <w:rsid w:val="00682B09"/>
    <w:rsid w:val="006C4F93"/>
    <w:rsid w:val="006D26C3"/>
    <w:rsid w:val="006F6DA2"/>
    <w:rsid w:val="00710BDD"/>
    <w:rsid w:val="00745330"/>
    <w:rsid w:val="00751E49"/>
    <w:rsid w:val="007773C9"/>
    <w:rsid w:val="007811F2"/>
    <w:rsid w:val="007845EB"/>
    <w:rsid w:val="007A38CB"/>
    <w:rsid w:val="007B2CB6"/>
    <w:rsid w:val="007C0AB0"/>
    <w:rsid w:val="007C23AE"/>
    <w:rsid w:val="007D01DF"/>
    <w:rsid w:val="007D119F"/>
    <w:rsid w:val="007E0F7B"/>
    <w:rsid w:val="007E5A5D"/>
    <w:rsid w:val="00803022"/>
    <w:rsid w:val="00823204"/>
    <w:rsid w:val="008337C0"/>
    <w:rsid w:val="008471A8"/>
    <w:rsid w:val="00857E67"/>
    <w:rsid w:val="00871614"/>
    <w:rsid w:val="00874B33"/>
    <w:rsid w:val="00891597"/>
    <w:rsid w:val="008942B0"/>
    <w:rsid w:val="00897E3B"/>
    <w:rsid w:val="008A027A"/>
    <w:rsid w:val="008A2577"/>
    <w:rsid w:val="008F7C37"/>
    <w:rsid w:val="009153D4"/>
    <w:rsid w:val="00924670"/>
    <w:rsid w:val="0094736A"/>
    <w:rsid w:val="00952FBA"/>
    <w:rsid w:val="00981DED"/>
    <w:rsid w:val="00982272"/>
    <w:rsid w:val="00984508"/>
    <w:rsid w:val="00996FF3"/>
    <w:rsid w:val="00997888"/>
    <w:rsid w:val="009B5957"/>
    <w:rsid w:val="009B6A69"/>
    <w:rsid w:val="009C61B0"/>
    <w:rsid w:val="009D044D"/>
    <w:rsid w:val="009E08D3"/>
    <w:rsid w:val="009E528D"/>
    <w:rsid w:val="009F07CB"/>
    <w:rsid w:val="009F1EAC"/>
    <w:rsid w:val="009F5852"/>
    <w:rsid w:val="00A00CC5"/>
    <w:rsid w:val="00A07AE1"/>
    <w:rsid w:val="00A145E9"/>
    <w:rsid w:val="00A146EA"/>
    <w:rsid w:val="00A22920"/>
    <w:rsid w:val="00A26FF5"/>
    <w:rsid w:val="00A33278"/>
    <w:rsid w:val="00A3528D"/>
    <w:rsid w:val="00A45DFA"/>
    <w:rsid w:val="00A531ED"/>
    <w:rsid w:val="00A62963"/>
    <w:rsid w:val="00A63D16"/>
    <w:rsid w:val="00A95281"/>
    <w:rsid w:val="00A957A8"/>
    <w:rsid w:val="00AA354C"/>
    <w:rsid w:val="00AD669A"/>
    <w:rsid w:val="00AE4E21"/>
    <w:rsid w:val="00AE65BE"/>
    <w:rsid w:val="00B20BFE"/>
    <w:rsid w:val="00B30812"/>
    <w:rsid w:val="00B33B31"/>
    <w:rsid w:val="00B35CB3"/>
    <w:rsid w:val="00B41085"/>
    <w:rsid w:val="00B41441"/>
    <w:rsid w:val="00B47C77"/>
    <w:rsid w:val="00B60043"/>
    <w:rsid w:val="00B65434"/>
    <w:rsid w:val="00B71241"/>
    <w:rsid w:val="00B85A3B"/>
    <w:rsid w:val="00BC1C64"/>
    <w:rsid w:val="00BD050D"/>
    <w:rsid w:val="00BE5B0D"/>
    <w:rsid w:val="00BF5A50"/>
    <w:rsid w:val="00C132D0"/>
    <w:rsid w:val="00C45631"/>
    <w:rsid w:val="00C5249E"/>
    <w:rsid w:val="00C55EFE"/>
    <w:rsid w:val="00CE768F"/>
    <w:rsid w:val="00CF23D5"/>
    <w:rsid w:val="00D043FC"/>
    <w:rsid w:val="00D57248"/>
    <w:rsid w:val="00D73EEA"/>
    <w:rsid w:val="00D97508"/>
    <w:rsid w:val="00DA2E06"/>
    <w:rsid w:val="00DB03FB"/>
    <w:rsid w:val="00DE2996"/>
    <w:rsid w:val="00DF4D73"/>
    <w:rsid w:val="00E131A3"/>
    <w:rsid w:val="00E167E4"/>
    <w:rsid w:val="00E175FA"/>
    <w:rsid w:val="00E51764"/>
    <w:rsid w:val="00E94791"/>
    <w:rsid w:val="00EA753E"/>
    <w:rsid w:val="00EE56C3"/>
    <w:rsid w:val="00F03613"/>
    <w:rsid w:val="00F17AD3"/>
    <w:rsid w:val="00F2225C"/>
    <w:rsid w:val="00F569CF"/>
    <w:rsid w:val="00F67D5B"/>
    <w:rsid w:val="00F8671C"/>
    <w:rsid w:val="00F95B41"/>
    <w:rsid w:val="00F96126"/>
    <w:rsid w:val="00FE4E6D"/>
    <w:rsid w:val="00FF0C6F"/>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7C2E4"/>
  <w15:docId w15:val="{8FEBF69E-3405-48B0-A3D5-6BDCE38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662FA3"/>
    <w:rPr>
      <w:rFonts w:ascii="Tahoma" w:hAnsi="Tahoma" w:cs="Tahoma"/>
      <w:sz w:val="16"/>
      <w:szCs w:val="16"/>
    </w:rPr>
  </w:style>
  <w:style w:type="character" w:customStyle="1" w:styleId="BalloonTextChar">
    <w:name w:val="Balloon Text Char"/>
    <w:basedOn w:val="DefaultParagraphFont"/>
    <w:link w:val="BalloonText"/>
    <w:uiPriority w:val="99"/>
    <w:semiHidden/>
    <w:rsid w:val="00662F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e.smartsheet.com/try-it?trp=50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ref1-IC-One-Page-Business-Plan-for-a-Service-Business-10787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ref1-IC-One-Page-Business-Plan-for-a-Service-Business-10787_WORD.dotx</Template>
  <TotalTime>9</TotalTime>
  <Pages>3</Pages>
  <Words>373</Words>
  <Characters>2232</Characters>
  <Application>Microsoft Office Word</Application>
  <DocSecurity>0</DocSecurity>
  <Lines>82</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min qu</cp:lastModifiedBy>
  <cp:revision>8</cp:revision>
  <dcterms:created xsi:type="dcterms:W3CDTF">2024-02-28T05:16:00Z</dcterms:created>
  <dcterms:modified xsi:type="dcterms:W3CDTF">2024-12-26T03:40:00Z</dcterms:modified>
</cp:coreProperties>
</file>