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E43761" w14:textId="5BA006F9" w:rsidR="007D603C" w:rsidRPr="0025175F" w:rsidRDefault="007D603C">
      <w:pPr>
        <w:rPr>
          <w:rFonts w:ascii="Century Gothic" w:hAnsi="Century Gothic"/>
          <w:sz w:val="16"/>
          <w:szCs w:val="16"/>
        </w:rPr>
      </w:pPr>
    </w:p>
    <w:tbl>
      <w:tblPr>
        <w:tblW w:w="14125" w:type="dxa"/>
        <w:tblInd w:w="5" w:type="dxa"/>
        <w:tblLook w:val="04A0" w:firstRow="1" w:lastRow="0" w:firstColumn="1" w:lastColumn="0" w:noHBand="0" w:noVBand="1"/>
      </w:tblPr>
      <w:tblGrid>
        <w:gridCol w:w="3397"/>
        <w:gridCol w:w="10728"/>
      </w:tblGrid>
      <w:tr w:rsidR="00D315A9" w:rsidRPr="0025175F" w14:paraId="26DE8E0A" w14:textId="77777777" w:rsidTr="008F7A0B">
        <w:trPr>
          <w:trHeight w:val="720"/>
        </w:trPr>
        <w:tc>
          <w:tcPr>
            <w:tcW w:w="14125" w:type="dxa"/>
            <w:gridSpan w:val="2"/>
            <w:tcBorders>
              <w:top w:val="nil"/>
              <w:left w:val="nil"/>
              <w:bottom w:val="nil"/>
              <w:right w:val="nil"/>
            </w:tcBorders>
            <w:shd w:val="clear" w:color="auto" w:fill="auto"/>
            <w:noWrap/>
            <w:vAlign w:val="center"/>
            <w:hideMark/>
          </w:tcPr>
          <w:p w14:paraId="39BA615D" w14:textId="3104E4CA" w:rsidR="00D315A9" w:rsidRDefault="00A83DF7" w:rsidP="00A83DF7">
            <w:pPr>
              <w:spacing w:line="228" w:lineRule="auto"/>
              <w:rPr>
                <w:rFonts w:ascii="Century Gothic" w:eastAsia="Times New Roman" w:hAnsi="Century Gothic" w:cs="Times New Roman"/>
                <w:b/>
                <w:bCs/>
                <w:color w:val="204559"/>
                <w:sz w:val="38"/>
                <w:szCs w:val="38"/>
              </w:rPr>
            </w:pPr>
            <w:r w:rsidRPr="00360227">
              <w:rPr>
                <w:b/>
                <w:noProof/>
                <w:color w:val="595959" w:themeColor="text1" w:themeTint="A6"/>
                <w:sz w:val="46"/>
                <w:szCs w:val="46"/>
              </w:rPr>
              <w:drawing>
                <wp:anchor distT="0" distB="0" distL="114300" distR="114300" simplePos="0" relativeHeight="251658240" behindDoc="0" locked="0" layoutInCell="1" allowOverlap="1" wp14:anchorId="2881A267" wp14:editId="5B1490E2">
                  <wp:simplePos x="0" y="0"/>
                  <wp:positionH relativeFrom="column">
                    <wp:posOffset>6179820</wp:posOffset>
                  </wp:positionH>
                  <wp:positionV relativeFrom="paragraph">
                    <wp:posOffset>-129540</wp:posOffset>
                  </wp:positionV>
                  <wp:extent cx="2713990" cy="539750"/>
                  <wp:effectExtent l="0" t="0" r="0" b="0"/>
                  <wp:wrapNone/>
                  <wp:docPr id="1" name="Picture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713990" cy="539750"/>
                          </a:xfrm>
                          <a:prstGeom prst="rect">
                            <a:avLst/>
                          </a:prstGeom>
                        </pic:spPr>
                      </pic:pic>
                    </a:graphicData>
                  </a:graphic>
                  <wp14:sizeRelH relativeFrom="page">
                    <wp14:pctWidth>0</wp14:pctWidth>
                  </wp14:sizeRelH>
                  <wp14:sizeRelV relativeFrom="page">
                    <wp14:pctHeight>0</wp14:pctHeight>
                  </wp14:sizeRelV>
                </wp:anchor>
              </w:drawing>
            </w:r>
            <w:r w:rsidR="008F7A0B">
              <w:rPr>
                <w:rFonts w:ascii="Century Gothic" w:hAnsi="Century Gothic"/>
                <w:b/>
                <w:color w:val="595959" w:themeColor="text1" w:themeTint="A6"/>
                <w:sz w:val="44"/>
              </w:rPr>
              <w:t xml:space="preserve">GLIEDERUNGSVORLAGE FÜR </w:t>
            </w:r>
            <w:r>
              <w:rPr>
                <w:rFonts w:ascii="Century Gothic" w:hAnsi="Century Gothic"/>
                <w:b/>
                <w:color w:val="595959" w:themeColor="text1" w:themeTint="A6"/>
                <w:sz w:val="44"/>
              </w:rPr>
              <w:br/>
            </w:r>
            <w:r w:rsidR="008F7A0B">
              <w:rPr>
                <w:rFonts w:ascii="Century Gothic" w:hAnsi="Century Gothic"/>
                <w:b/>
                <w:color w:val="595959" w:themeColor="text1" w:themeTint="A6"/>
                <w:sz w:val="44"/>
              </w:rPr>
              <w:t xml:space="preserve">STRATEGIEPLANUNG AN UNIVERSITÄTEN </w:t>
            </w:r>
            <w:r>
              <w:rPr>
                <w:rFonts w:ascii="Century Gothic" w:hAnsi="Century Gothic"/>
                <w:b/>
                <w:color w:val="595959" w:themeColor="text1" w:themeTint="A6"/>
                <w:sz w:val="44"/>
              </w:rPr>
              <w:br/>
            </w:r>
            <w:r w:rsidR="008F7A0B">
              <w:rPr>
                <w:rFonts w:ascii="Century Gothic" w:hAnsi="Century Gothic"/>
                <w:b/>
                <w:color w:val="595959" w:themeColor="text1" w:themeTint="A6"/>
                <w:sz w:val="44"/>
              </w:rPr>
              <w:t>(BEISPIEL) für Microsoft Word</w:t>
            </w:r>
          </w:p>
          <w:p w14:paraId="3B3887D2" w14:textId="77777777" w:rsidR="002E45D2" w:rsidRPr="00A83DF7" w:rsidRDefault="002E45D2" w:rsidP="00D315A9">
            <w:pPr>
              <w:rPr>
                <w:rFonts w:ascii="Century Gothic" w:eastAsia="Times New Roman" w:hAnsi="Century Gothic" w:cs="Times New Roman"/>
                <w:b/>
                <w:bCs/>
                <w:color w:val="204559"/>
                <w:sz w:val="18"/>
                <w:szCs w:val="18"/>
              </w:rPr>
            </w:pPr>
          </w:p>
          <w:p w14:paraId="02B7E8EA" w14:textId="4969826E" w:rsidR="002E45D2" w:rsidRPr="002E45D2" w:rsidRDefault="002E45D2" w:rsidP="00D315A9">
            <w:pPr>
              <w:rPr>
                <w:rFonts w:ascii="Century Gothic" w:eastAsia="Times New Roman" w:hAnsi="Century Gothic" w:cs="Times New Roman"/>
                <w:b/>
                <w:bCs/>
                <w:color w:val="204559"/>
                <w:sz w:val="20"/>
                <w:szCs w:val="20"/>
              </w:rPr>
            </w:pPr>
            <w:r>
              <w:rPr>
                <w:rFonts w:ascii="Century Gothic" w:hAnsi="Century Gothic"/>
                <w:color w:val="000000"/>
                <w:sz w:val="20"/>
              </w:rPr>
              <w:t>Dieser Strategieplan dient der Greenfield University als Roadmap auf dem Weg zur Verwirklichung ihrer Vision und Mission, zur Bewältigung aktueller Herausforderungen und zur Nutzung von Chancen für Wachstum und Wirkung.</w:t>
            </w:r>
          </w:p>
          <w:p w14:paraId="12840220" w14:textId="77777777" w:rsidR="002E45D2" w:rsidRPr="00A83DF7" w:rsidRDefault="002E45D2" w:rsidP="00D315A9">
            <w:pPr>
              <w:rPr>
                <w:rFonts w:ascii="Century Gothic" w:eastAsia="Times New Roman" w:hAnsi="Century Gothic" w:cs="Times New Roman"/>
                <w:b/>
                <w:bCs/>
                <w:color w:val="204559"/>
                <w:sz w:val="18"/>
                <w:szCs w:val="18"/>
              </w:rPr>
            </w:pPr>
          </w:p>
          <w:p w14:paraId="587F4DF5" w14:textId="598B20DE" w:rsidR="002E45D2" w:rsidRPr="002E45D2" w:rsidRDefault="002E45D2" w:rsidP="00D315A9">
            <w:pPr>
              <w:rPr>
                <w:rFonts w:ascii="Century Gothic" w:eastAsia="Times New Roman" w:hAnsi="Century Gothic" w:cs="Times New Roman"/>
                <w:b/>
                <w:bCs/>
                <w:color w:val="204559"/>
                <w:sz w:val="38"/>
                <w:szCs w:val="38"/>
              </w:rPr>
            </w:pPr>
          </w:p>
        </w:tc>
      </w:tr>
      <w:tr w:rsidR="00D315A9" w:rsidRPr="00E94F29" w14:paraId="55E26958" w14:textId="77777777" w:rsidTr="008F7A0B">
        <w:trPr>
          <w:trHeight w:val="480"/>
        </w:trPr>
        <w:tc>
          <w:tcPr>
            <w:tcW w:w="14125" w:type="dxa"/>
            <w:gridSpan w:val="2"/>
            <w:tcBorders>
              <w:top w:val="single" w:sz="4" w:space="0" w:color="BFBFBF"/>
              <w:left w:val="single" w:sz="4" w:space="0" w:color="BFBFBF"/>
              <w:right w:val="single" w:sz="4" w:space="0" w:color="BFBFBF"/>
            </w:tcBorders>
            <w:shd w:val="clear" w:color="auto" w:fill="2E74B5" w:themeFill="accent5" w:themeFillShade="BF"/>
            <w:vAlign w:val="center"/>
            <w:hideMark/>
          </w:tcPr>
          <w:p w14:paraId="42FBEDE6" w14:textId="72F338AE" w:rsidR="00D315A9" w:rsidRPr="008F7A0B" w:rsidRDefault="00663EA6" w:rsidP="00E94F29">
            <w:pPr>
              <w:rPr>
                <w:rFonts w:ascii="Century Gothic" w:hAnsi="Century Gothic"/>
                <w:bCs/>
                <w:color w:val="FFFFFF" w:themeColor="background1"/>
                <w:sz w:val="28"/>
                <w:szCs w:val="28"/>
              </w:rPr>
            </w:pPr>
            <w:r>
              <w:rPr>
                <w:rFonts w:ascii="Century Gothic" w:hAnsi="Century Gothic"/>
                <w:color w:val="FFFFFF" w:themeColor="background1"/>
                <w:sz w:val="28"/>
              </w:rPr>
              <w:t xml:space="preserve"> GREENFIELD UNIVERSITY – ÜBER UNS</w:t>
            </w:r>
          </w:p>
        </w:tc>
      </w:tr>
      <w:tr w:rsidR="004F45A8" w:rsidRPr="004F45A8" w14:paraId="25CAD4BC" w14:textId="77777777" w:rsidTr="00A83DF7">
        <w:trPr>
          <w:trHeight w:val="1335"/>
        </w:trPr>
        <w:tc>
          <w:tcPr>
            <w:tcW w:w="3397" w:type="dxa"/>
            <w:tcBorders>
              <w:top w:val="nil"/>
              <w:left w:val="single" w:sz="4" w:space="0" w:color="BFBFBF"/>
              <w:bottom w:val="single" w:sz="4" w:space="0" w:color="BFBFBF"/>
              <w:right w:val="single" w:sz="4" w:space="0" w:color="BFBFBF"/>
            </w:tcBorders>
            <w:shd w:val="clear" w:color="auto" w:fill="DEEAF6" w:themeFill="accent5" w:themeFillTint="33"/>
            <w:vAlign w:val="center"/>
            <w:hideMark/>
          </w:tcPr>
          <w:p w14:paraId="69F0382C" w14:textId="77777777" w:rsidR="00D315A9" w:rsidRPr="008F7A0B" w:rsidRDefault="00D315A9" w:rsidP="00E25329">
            <w:pPr>
              <w:rPr>
                <w:rFonts w:ascii="Century Gothic" w:eastAsia="Times New Roman" w:hAnsi="Century Gothic" w:cs="Times New Roman"/>
                <w:color w:val="595959" w:themeColor="text1" w:themeTint="A6"/>
                <w:sz w:val="20"/>
                <w:szCs w:val="20"/>
              </w:rPr>
            </w:pPr>
            <w:r>
              <w:rPr>
                <w:rFonts w:ascii="Century Gothic" w:hAnsi="Century Gothic"/>
                <w:b/>
                <w:color w:val="595959" w:themeColor="text1" w:themeTint="A6"/>
                <w:sz w:val="20"/>
              </w:rPr>
              <w:t xml:space="preserve">VERGANGENHEIT </w:t>
            </w:r>
            <w:r w:rsidRPr="008F7A0B">
              <w:rPr>
                <w:rFonts w:ascii="Century Gothic" w:hAnsi="Century Gothic"/>
                <w:color w:val="595959" w:themeColor="text1" w:themeTint="A6"/>
                <w:sz w:val="20"/>
                <w:szCs w:val="20"/>
              </w:rPr>
              <w:t>– wo wir waren</w:t>
            </w:r>
          </w:p>
        </w:tc>
        <w:tc>
          <w:tcPr>
            <w:tcW w:w="10728" w:type="dxa"/>
            <w:tcBorders>
              <w:top w:val="nil"/>
              <w:left w:val="nil"/>
              <w:bottom w:val="single" w:sz="4" w:space="0" w:color="BFBFBF"/>
              <w:right w:val="single" w:sz="4" w:space="0" w:color="BFBFBF"/>
            </w:tcBorders>
            <w:shd w:val="clear" w:color="auto" w:fill="auto"/>
            <w:vAlign w:val="center"/>
            <w:hideMark/>
          </w:tcPr>
          <w:p w14:paraId="3FA7DCB5" w14:textId="22D292E3" w:rsidR="00D315A9" w:rsidRPr="00AD364F" w:rsidRDefault="00EC41EB" w:rsidP="00311343">
            <w:pPr>
              <w:rPr>
                <w:rFonts w:ascii="Century Gothic" w:eastAsia="Times New Roman" w:hAnsi="Century Gothic" w:cs="Times New Roman"/>
                <w:color w:val="000000" w:themeColor="text1"/>
                <w:sz w:val="20"/>
                <w:szCs w:val="20"/>
              </w:rPr>
            </w:pPr>
            <w:r>
              <w:rPr>
                <w:rFonts w:ascii="Century Gothic" w:hAnsi="Century Gothic"/>
                <w:color w:val="000000" w:themeColor="text1"/>
                <w:sz w:val="20"/>
              </w:rPr>
              <w:t>Die 1965 gegründete Greenfield University kann auf eine lange Geschichte akademischer Exzellenz und Innovation zurückblicken und hat sich von einer bescheidenen Hochschule für Geisteswissenschaften zu einer umfassenden Forschungsuniversität entwickelt.</w:t>
            </w:r>
          </w:p>
        </w:tc>
      </w:tr>
      <w:tr w:rsidR="004F45A8" w:rsidRPr="00311343" w14:paraId="0CB7F9F3" w14:textId="77777777" w:rsidTr="00A83DF7">
        <w:trPr>
          <w:trHeight w:val="1310"/>
        </w:trPr>
        <w:tc>
          <w:tcPr>
            <w:tcW w:w="3397" w:type="dxa"/>
            <w:tcBorders>
              <w:top w:val="single" w:sz="4" w:space="0" w:color="BFBFBF"/>
              <w:left w:val="single" w:sz="4" w:space="0" w:color="BFBFBF"/>
              <w:bottom w:val="single" w:sz="4" w:space="0" w:color="BFBFBF"/>
              <w:right w:val="single" w:sz="4" w:space="0" w:color="BFBFBF"/>
            </w:tcBorders>
            <w:shd w:val="clear" w:color="auto" w:fill="DEEAF6" w:themeFill="accent5" w:themeFillTint="33"/>
            <w:vAlign w:val="center"/>
            <w:hideMark/>
          </w:tcPr>
          <w:p w14:paraId="715006FC" w14:textId="77777777" w:rsidR="00D315A9" w:rsidRPr="008F7A0B" w:rsidRDefault="00D315A9" w:rsidP="00E25329">
            <w:pPr>
              <w:rPr>
                <w:rFonts w:ascii="Century Gothic" w:eastAsia="Times New Roman" w:hAnsi="Century Gothic" w:cs="Times New Roman"/>
                <w:b/>
                <w:color w:val="595959" w:themeColor="text1" w:themeTint="A6"/>
                <w:sz w:val="20"/>
                <w:szCs w:val="20"/>
              </w:rPr>
            </w:pPr>
            <w:r>
              <w:rPr>
                <w:rFonts w:ascii="Century Gothic" w:hAnsi="Century Gothic"/>
                <w:b/>
                <w:color w:val="595959" w:themeColor="text1" w:themeTint="A6"/>
                <w:sz w:val="20"/>
              </w:rPr>
              <w:t xml:space="preserve">HEUTE </w:t>
            </w:r>
            <w:r w:rsidRPr="008F7A0B">
              <w:rPr>
                <w:rFonts w:ascii="Century Gothic" w:hAnsi="Century Gothic"/>
                <w:color w:val="595959" w:themeColor="text1" w:themeTint="A6"/>
                <w:sz w:val="20"/>
                <w:szCs w:val="20"/>
              </w:rPr>
              <w:t>– wo wir jetzt sind</w:t>
            </w:r>
          </w:p>
        </w:tc>
        <w:tc>
          <w:tcPr>
            <w:tcW w:w="10728" w:type="dxa"/>
            <w:tcBorders>
              <w:top w:val="single" w:sz="4" w:space="0" w:color="BFBFBF"/>
              <w:left w:val="nil"/>
              <w:bottom w:val="single" w:sz="4" w:space="0" w:color="BFBFBF"/>
              <w:right w:val="single" w:sz="4" w:space="0" w:color="BFBFBF"/>
            </w:tcBorders>
            <w:shd w:val="clear" w:color="auto" w:fill="F2F2F2" w:themeFill="background1" w:themeFillShade="F2"/>
            <w:vAlign w:val="center"/>
            <w:hideMark/>
          </w:tcPr>
          <w:p w14:paraId="2628F7D2" w14:textId="5E12017F" w:rsidR="00D315A9" w:rsidRPr="00AD364F" w:rsidRDefault="00EC41EB" w:rsidP="00311343">
            <w:pPr>
              <w:rPr>
                <w:rFonts w:ascii="Century Gothic" w:eastAsia="Times New Roman" w:hAnsi="Century Gothic" w:cs="Times New Roman"/>
                <w:color w:val="000000" w:themeColor="text1"/>
                <w:sz w:val="20"/>
                <w:szCs w:val="20"/>
              </w:rPr>
            </w:pPr>
            <w:r>
              <w:rPr>
                <w:rFonts w:ascii="Century Gothic" w:hAnsi="Century Gothic"/>
                <w:color w:val="000000" w:themeColor="text1"/>
                <w:sz w:val="20"/>
              </w:rPr>
              <w:t>Derzeit besuchen über 20.000 Studierende die Greenfield University, die eine Vielzahl von Bachelor-, Master- und Promotionsprogrammen anbietet. Wir sind bekannt für unser Engagement für Nachhaltigkeit, Technologieintegration und gesellschaftliches Engagement und entwickeln uns ständig weiter, um den Herausforderungen einer sich verändernden Welt gerecht zu werden.</w:t>
            </w:r>
          </w:p>
        </w:tc>
      </w:tr>
      <w:tr w:rsidR="004F45A8" w:rsidRPr="004F45A8" w14:paraId="71EA1155" w14:textId="77777777" w:rsidTr="00A83DF7">
        <w:trPr>
          <w:trHeight w:val="993"/>
        </w:trPr>
        <w:tc>
          <w:tcPr>
            <w:tcW w:w="3397" w:type="dxa"/>
            <w:tcBorders>
              <w:top w:val="single" w:sz="4" w:space="0" w:color="BFBFBF"/>
              <w:left w:val="single" w:sz="4" w:space="0" w:color="BFBFBF"/>
              <w:bottom w:val="single" w:sz="4" w:space="0" w:color="BFBFBF"/>
              <w:right w:val="single" w:sz="4" w:space="0" w:color="BFBFBF"/>
            </w:tcBorders>
            <w:shd w:val="clear" w:color="auto" w:fill="DEEAF6" w:themeFill="accent5" w:themeFillTint="33"/>
            <w:vAlign w:val="center"/>
            <w:hideMark/>
          </w:tcPr>
          <w:p w14:paraId="08FC9DC5" w14:textId="77777777" w:rsidR="00D315A9" w:rsidRPr="008F7A0B" w:rsidRDefault="00D315A9" w:rsidP="00E25329">
            <w:pPr>
              <w:rPr>
                <w:rFonts w:ascii="Century Gothic" w:eastAsia="Times New Roman" w:hAnsi="Century Gothic" w:cs="Times New Roman"/>
                <w:color w:val="595959" w:themeColor="text1" w:themeTint="A6"/>
                <w:sz w:val="20"/>
                <w:szCs w:val="20"/>
              </w:rPr>
            </w:pPr>
            <w:r>
              <w:rPr>
                <w:rFonts w:ascii="Century Gothic" w:hAnsi="Century Gothic"/>
                <w:b/>
                <w:color w:val="595959" w:themeColor="text1" w:themeTint="A6"/>
                <w:sz w:val="20"/>
              </w:rPr>
              <w:t>VISION</w:t>
            </w:r>
            <w:r w:rsidRPr="008F7A0B">
              <w:rPr>
                <w:rFonts w:ascii="Century Gothic" w:hAnsi="Century Gothic"/>
                <w:color w:val="595959" w:themeColor="text1" w:themeTint="A6"/>
                <w:sz w:val="20"/>
                <w:szCs w:val="20"/>
              </w:rPr>
              <w:t xml:space="preserve"> – wohin unser Weg führen sollte und warum</w:t>
            </w:r>
          </w:p>
        </w:tc>
        <w:tc>
          <w:tcPr>
            <w:tcW w:w="10728" w:type="dxa"/>
            <w:tcBorders>
              <w:top w:val="single" w:sz="4" w:space="0" w:color="BFBFBF"/>
              <w:left w:val="nil"/>
              <w:bottom w:val="single" w:sz="4" w:space="0" w:color="BFBFBF"/>
              <w:right w:val="single" w:sz="4" w:space="0" w:color="BFBFBF"/>
            </w:tcBorders>
            <w:shd w:val="clear" w:color="auto" w:fill="FFFFFF" w:themeFill="background1"/>
            <w:vAlign w:val="center"/>
            <w:hideMark/>
          </w:tcPr>
          <w:p w14:paraId="5E3D54C6" w14:textId="07721CF0" w:rsidR="00D315A9" w:rsidRPr="00AD364F" w:rsidRDefault="00EC41EB" w:rsidP="00311343">
            <w:pPr>
              <w:rPr>
                <w:rFonts w:ascii="Century Gothic" w:eastAsia="Times New Roman" w:hAnsi="Century Gothic" w:cs="Times New Roman"/>
                <w:color w:val="000000" w:themeColor="text1"/>
                <w:sz w:val="20"/>
                <w:szCs w:val="20"/>
              </w:rPr>
            </w:pPr>
            <w:r>
              <w:rPr>
                <w:rFonts w:ascii="Century Gothic" w:hAnsi="Century Gothic"/>
                <w:color w:val="000000" w:themeColor="text1"/>
                <w:sz w:val="20"/>
              </w:rPr>
              <w:t>Wir möchten als weltweit führendes Unternehmen für Hochschulbildung, bahnbrechende Forschung und Innovation anerkannt werden, das zu einer nachhaltigen Zukunft beiträgt und den Einzelnen befähigt, einen sinnvollen Beitrag zur Gesellschaft zu leisten.</w:t>
            </w:r>
          </w:p>
        </w:tc>
      </w:tr>
      <w:tr w:rsidR="004F45A8" w:rsidRPr="004F45A8" w14:paraId="7DDED8CB" w14:textId="77777777" w:rsidTr="00A83DF7">
        <w:trPr>
          <w:trHeight w:val="1422"/>
        </w:trPr>
        <w:tc>
          <w:tcPr>
            <w:tcW w:w="3397" w:type="dxa"/>
            <w:tcBorders>
              <w:top w:val="single" w:sz="4" w:space="0" w:color="BFBFBF"/>
              <w:left w:val="single" w:sz="4" w:space="0" w:color="BFBFBF"/>
              <w:bottom w:val="single" w:sz="4" w:space="0" w:color="BFBFBF"/>
              <w:right w:val="single" w:sz="4" w:space="0" w:color="BFBFBF"/>
            </w:tcBorders>
            <w:shd w:val="clear" w:color="auto" w:fill="DEEAF6" w:themeFill="accent5" w:themeFillTint="33"/>
            <w:vAlign w:val="center"/>
            <w:hideMark/>
          </w:tcPr>
          <w:p w14:paraId="3BA7EF2D" w14:textId="77777777" w:rsidR="00D315A9" w:rsidRPr="008F7A0B" w:rsidRDefault="00D315A9" w:rsidP="00E25329">
            <w:pPr>
              <w:rPr>
                <w:rFonts w:ascii="Century Gothic" w:eastAsia="Times New Roman" w:hAnsi="Century Gothic" w:cs="Times New Roman"/>
                <w:color w:val="595959" w:themeColor="text1" w:themeTint="A6"/>
                <w:sz w:val="20"/>
                <w:szCs w:val="20"/>
              </w:rPr>
            </w:pPr>
            <w:r>
              <w:rPr>
                <w:rFonts w:ascii="Century Gothic" w:hAnsi="Century Gothic"/>
                <w:b/>
                <w:color w:val="595959" w:themeColor="text1" w:themeTint="A6"/>
                <w:sz w:val="20"/>
              </w:rPr>
              <w:t>MISSION</w:t>
            </w:r>
            <w:r>
              <w:rPr>
                <w:rFonts w:ascii="Century Gothic" w:hAnsi="Century Gothic"/>
                <w:color w:val="595959" w:themeColor="text1" w:themeTint="A6"/>
                <w:sz w:val="20"/>
              </w:rPr>
              <w:t xml:space="preserve"> – wer wir sind, wie wir auf unsere Vision hinarbeiten, was uns einzigartig macht</w:t>
            </w:r>
          </w:p>
        </w:tc>
        <w:tc>
          <w:tcPr>
            <w:tcW w:w="10728" w:type="dxa"/>
            <w:tcBorders>
              <w:top w:val="single" w:sz="4" w:space="0" w:color="BFBFBF"/>
              <w:left w:val="nil"/>
              <w:bottom w:val="single" w:sz="4" w:space="0" w:color="BFBFBF"/>
              <w:right w:val="single" w:sz="4" w:space="0" w:color="BFBFBF"/>
            </w:tcBorders>
            <w:shd w:val="clear" w:color="auto" w:fill="F2F2F2" w:themeFill="background1" w:themeFillShade="F2"/>
            <w:vAlign w:val="center"/>
            <w:hideMark/>
          </w:tcPr>
          <w:p w14:paraId="348F7095" w14:textId="0266BC03" w:rsidR="00D315A9" w:rsidRPr="00AD364F" w:rsidRDefault="00EC41EB" w:rsidP="00311343">
            <w:pPr>
              <w:rPr>
                <w:rFonts w:ascii="Century Gothic" w:eastAsia="Times New Roman" w:hAnsi="Century Gothic" w:cs="Times New Roman"/>
                <w:color w:val="000000" w:themeColor="text1"/>
                <w:sz w:val="20"/>
                <w:szCs w:val="20"/>
              </w:rPr>
            </w:pPr>
            <w:r>
              <w:rPr>
                <w:rFonts w:ascii="Century Gothic" w:hAnsi="Century Gothic"/>
                <w:color w:val="000000" w:themeColor="text1"/>
                <w:sz w:val="20"/>
              </w:rPr>
              <w:t>Die Greenfield University hat es sich zur Aufgabe gemacht, eine zugängliche, hochwertige Bildung anzubieten, die kritisches Denken, Kreativität und lebenslanges Lernen in einem vielfältigen und integrativen Umfeld fördert. Unser Ziel ist es, Wissen durch Forschung und Wissenschaft zu erweitern, eine Servicekultur zu fördern und die Studierenden auf eine globale Bürgerschaft und beruflichen Erfolg vorzubereiten.</w:t>
            </w:r>
          </w:p>
        </w:tc>
      </w:tr>
      <w:tr w:rsidR="004F45A8" w:rsidRPr="004F45A8" w14:paraId="18CA9354" w14:textId="77777777" w:rsidTr="00A83DF7">
        <w:trPr>
          <w:trHeight w:val="1898"/>
        </w:trPr>
        <w:tc>
          <w:tcPr>
            <w:tcW w:w="3397" w:type="dxa"/>
            <w:tcBorders>
              <w:top w:val="single" w:sz="4" w:space="0" w:color="BFBFBF"/>
              <w:left w:val="single" w:sz="4" w:space="0" w:color="BFBFBF"/>
              <w:bottom w:val="single" w:sz="4" w:space="0" w:color="BFBFBF"/>
              <w:right w:val="single" w:sz="4" w:space="0" w:color="BFBFBF"/>
            </w:tcBorders>
            <w:shd w:val="clear" w:color="auto" w:fill="DEEAF6" w:themeFill="accent5" w:themeFillTint="33"/>
            <w:vAlign w:val="center"/>
            <w:hideMark/>
          </w:tcPr>
          <w:p w14:paraId="692FEDB0" w14:textId="77777777" w:rsidR="00D315A9" w:rsidRPr="008F7A0B" w:rsidRDefault="00D315A9" w:rsidP="00E25329">
            <w:pPr>
              <w:rPr>
                <w:rFonts w:ascii="Century Gothic" w:eastAsia="Times New Roman" w:hAnsi="Century Gothic" w:cs="Times New Roman"/>
                <w:color w:val="595959" w:themeColor="text1" w:themeTint="A6"/>
                <w:sz w:val="20"/>
                <w:szCs w:val="20"/>
              </w:rPr>
            </w:pPr>
            <w:r>
              <w:rPr>
                <w:rFonts w:ascii="Century Gothic" w:hAnsi="Century Gothic"/>
                <w:b/>
                <w:color w:val="595959" w:themeColor="text1" w:themeTint="A6"/>
                <w:sz w:val="20"/>
              </w:rPr>
              <w:t xml:space="preserve">GRUNDWERTE </w:t>
            </w:r>
            <w:r w:rsidRPr="008F7A0B">
              <w:rPr>
                <w:rFonts w:ascii="Century Gothic" w:hAnsi="Century Gothic"/>
                <w:color w:val="595959" w:themeColor="text1" w:themeTint="A6"/>
                <w:sz w:val="20"/>
                <w:szCs w:val="20"/>
              </w:rPr>
              <w:t>– Leitprinzipien unserer Arbeit und unserer Arbeitsweise</w:t>
            </w:r>
          </w:p>
        </w:tc>
        <w:tc>
          <w:tcPr>
            <w:tcW w:w="10728" w:type="dxa"/>
            <w:tcBorders>
              <w:top w:val="single" w:sz="4" w:space="0" w:color="BFBFBF"/>
              <w:left w:val="nil"/>
              <w:bottom w:val="single" w:sz="4" w:space="0" w:color="BFBFBF"/>
              <w:right w:val="single" w:sz="4" w:space="0" w:color="BFBFBF"/>
            </w:tcBorders>
            <w:shd w:val="clear" w:color="auto" w:fill="FFFFFF" w:themeFill="background1"/>
            <w:vAlign w:val="center"/>
            <w:hideMark/>
          </w:tcPr>
          <w:p w14:paraId="565B6455" w14:textId="6A82A401" w:rsidR="00AD364F" w:rsidRPr="00AD364F" w:rsidRDefault="00AD364F" w:rsidP="00AD364F">
            <w:pPr>
              <w:pStyle w:val="ListParagraph"/>
              <w:numPr>
                <w:ilvl w:val="0"/>
                <w:numId w:val="1"/>
              </w:numPr>
              <w:rPr>
                <w:rFonts w:ascii="Century Gothic" w:eastAsia="Times New Roman" w:hAnsi="Century Gothic" w:cs="Times New Roman"/>
                <w:color w:val="000000" w:themeColor="text1"/>
                <w:sz w:val="20"/>
                <w:szCs w:val="20"/>
              </w:rPr>
            </w:pPr>
            <w:r>
              <w:rPr>
                <w:rFonts w:ascii="Century Gothic" w:hAnsi="Century Gothic"/>
                <w:color w:val="000000" w:themeColor="text1"/>
                <w:sz w:val="20"/>
              </w:rPr>
              <w:t>Exzellenz: Verpflichtung zu den höchsten Standards in Bildung, Forschung und Service</w:t>
            </w:r>
          </w:p>
          <w:p w14:paraId="0B250758" w14:textId="77777777" w:rsidR="00AD364F" w:rsidRPr="00AD364F" w:rsidRDefault="00AD364F" w:rsidP="00AD364F">
            <w:pPr>
              <w:pStyle w:val="ListParagraph"/>
              <w:numPr>
                <w:ilvl w:val="0"/>
                <w:numId w:val="1"/>
              </w:numPr>
              <w:rPr>
                <w:rFonts w:ascii="Century Gothic" w:eastAsia="Times New Roman" w:hAnsi="Century Gothic" w:cs="Times New Roman"/>
                <w:color w:val="000000" w:themeColor="text1"/>
                <w:sz w:val="20"/>
                <w:szCs w:val="20"/>
              </w:rPr>
            </w:pPr>
            <w:r>
              <w:rPr>
                <w:rFonts w:ascii="Century Gothic" w:hAnsi="Century Gothic"/>
                <w:color w:val="000000" w:themeColor="text1"/>
                <w:sz w:val="20"/>
              </w:rPr>
              <w:t>Innovation: Förderung von Kreativität und neuen Ideen, um den Herausforderungen unserer Zeit zu begegnen</w:t>
            </w:r>
          </w:p>
          <w:p w14:paraId="2697751D" w14:textId="77777777" w:rsidR="00AD364F" w:rsidRPr="00AD364F" w:rsidRDefault="00AD364F" w:rsidP="00AD364F">
            <w:pPr>
              <w:pStyle w:val="ListParagraph"/>
              <w:numPr>
                <w:ilvl w:val="0"/>
                <w:numId w:val="1"/>
              </w:numPr>
              <w:rPr>
                <w:rFonts w:ascii="Century Gothic" w:eastAsia="Times New Roman" w:hAnsi="Century Gothic" w:cs="Times New Roman"/>
                <w:color w:val="000000" w:themeColor="text1"/>
                <w:sz w:val="20"/>
                <w:szCs w:val="20"/>
              </w:rPr>
            </w:pPr>
            <w:r>
              <w:rPr>
                <w:rFonts w:ascii="Century Gothic" w:hAnsi="Century Gothic"/>
                <w:color w:val="000000" w:themeColor="text1"/>
                <w:sz w:val="20"/>
              </w:rPr>
              <w:t>Nachhaltigkeit: Förderung von Umweltbewusstsein und nachhaltigen Verfahren</w:t>
            </w:r>
          </w:p>
          <w:p w14:paraId="1B74B194" w14:textId="77777777" w:rsidR="00AD364F" w:rsidRPr="00AD364F" w:rsidRDefault="00AD364F" w:rsidP="00AD364F">
            <w:pPr>
              <w:pStyle w:val="ListParagraph"/>
              <w:numPr>
                <w:ilvl w:val="0"/>
                <w:numId w:val="1"/>
              </w:numPr>
              <w:rPr>
                <w:rFonts w:ascii="Century Gothic" w:eastAsia="Times New Roman" w:hAnsi="Century Gothic" w:cs="Times New Roman"/>
                <w:color w:val="000000" w:themeColor="text1"/>
                <w:sz w:val="20"/>
                <w:szCs w:val="20"/>
              </w:rPr>
            </w:pPr>
            <w:r>
              <w:rPr>
                <w:rFonts w:ascii="Century Gothic" w:hAnsi="Century Gothic"/>
                <w:color w:val="000000" w:themeColor="text1"/>
                <w:sz w:val="20"/>
              </w:rPr>
              <w:t>Vielfalt und Inklusion: Eine Kultur des Respekts, der Gleichberechtigung und des Verständnisses</w:t>
            </w:r>
          </w:p>
          <w:p w14:paraId="6EBE6236" w14:textId="66CD3EA6" w:rsidR="00D315A9" w:rsidRPr="00AD364F" w:rsidRDefault="00AD364F" w:rsidP="00AD364F">
            <w:pPr>
              <w:pStyle w:val="ListParagraph"/>
              <w:numPr>
                <w:ilvl w:val="0"/>
                <w:numId w:val="1"/>
              </w:numPr>
              <w:rPr>
                <w:rFonts w:ascii="Century Gothic" w:eastAsia="Times New Roman" w:hAnsi="Century Gothic" w:cs="Times New Roman"/>
                <w:color w:val="000000" w:themeColor="text1"/>
                <w:sz w:val="20"/>
                <w:szCs w:val="20"/>
              </w:rPr>
            </w:pPr>
            <w:r>
              <w:rPr>
                <w:rFonts w:ascii="Century Gothic" w:hAnsi="Century Gothic"/>
                <w:color w:val="000000" w:themeColor="text1"/>
                <w:sz w:val="20"/>
              </w:rPr>
              <w:t>Engagement in der Community: Stärkung von Partnerschaften und Beitrag zum Wohlergehen unserer Communitys</w:t>
            </w:r>
          </w:p>
        </w:tc>
      </w:tr>
      <w:tr w:rsidR="004F45A8" w:rsidRPr="004F45A8" w14:paraId="56D1422D" w14:textId="77777777" w:rsidTr="00A83DF7">
        <w:trPr>
          <w:trHeight w:val="162"/>
        </w:trPr>
        <w:tc>
          <w:tcPr>
            <w:tcW w:w="3397" w:type="dxa"/>
            <w:tcBorders>
              <w:top w:val="nil"/>
              <w:left w:val="nil"/>
              <w:bottom w:val="single" w:sz="4" w:space="0" w:color="BFBFBF" w:themeColor="background1" w:themeShade="BF"/>
              <w:right w:val="nil"/>
            </w:tcBorders>
            <w:shd w:val="clear" w:color="auto" w:fill="auto"/>
            <w:hideMark/>
          </w:tcPr>
          <w:p w14:paraId="2E82AB99" w14:textId="77777777" w:rsidR="00D315A9" w:rsidRPr="004F45A8" w:rsidRDefault="00D315A9" w:rsidP="00A83DF7">
            <w:pPr>
              <w:pageBreakBefore/>
              <w:rPr>
                <w:rFonts w:ascii="Century Gothic" w:eastAsia="Times New Roman" w:hAnsi="Century Gothic" w:cs="Times New Roman"/>
                <w:color w:val="1E4558"/>
                <w:sz w:val="20"/>
                <w:szCs w:val="20"/>
              </w:rPr>
            </w:pPr>
          </w:p>
        </w:tc>
        <w:tc>
          <w:tcPr>
            <w:tcW w:w="10728" w:type="dxa"/>
            <w:tcBorders>
              <w:top w:val="nil"/>
              <w:left w:val="nil"/>
              <w:bottom w:val="single" w:sz="4" w:space="0" w:color="BFBFBF" w:themeColor="background1" w:themeShade="BF"/>
              <w:right w:val="nil"/>
            </w:tcBorders>
            <w:shd w:val="clear" w:color="auto" w:fill="auto"/>
            <w:vAlign w:val="bottom"/>
            <w:hideMark/>
          </w:tcPr>
          <w:p w14:paraId="65FDDB41" w14:textId="77777777" w:rsidR="00D315A9" w:rsidRPr="004F45A8" w:rsidRDefault="00D315A9" w:rsidP="00A83DF7">
            <w:pPr>
              <w:pageBreakBefore/>
              <w:rPr>
                <w:rFonts w:ascii="Century Gothic" w:eastAsia="Times New Roman" w:hAnsi="Century Gothic" w:cs="Times New Roman"/>
                <w:color w:val="1E4558"/>
                <w:sz w:val="20"/>
                <w:szCs w:val="20"/>
              </w:rPr>
            </w:pPr>
          </w:p>
        </w:tc>
      </w:tr>
      <w:tr w:rsidR="00D315A9" w:rsidRPr="00E94F29" w14:paraId="3FC06D7F" w14:textId="77777777" w:rsidTr="008F7A0B">
        <w:trPr>
          <w:trHeight w:val="480"/>
        </w:trPr>
        <w:tc>
          <w:tcPr>
            <w:tcW w:w="1412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E74B5" w:themeFill="accent5" w:themeFillShade="BF"/>
            <w:vAlign w:val="center"/>
            <w:hideMark/>
          </w:tcPr>
          <w:p w14:paraId="34E491F7" w14:textId="77777777" w:rsidR="00D315A9" w:rsidRPr="008F7A0B" w:rsidRDefault="00D315A9" w:rsidP="0025175F">
            <w:pPr>
              <w:rPr>
                <w:rFonts w:ascii="Century Gothic" w:eastAsia="Times New Roman" w:hAnsi="Century Gothic" w:cs="Times New Roman"/>
                <w:color w:val="1E4558"/>
                <w:sz w:val="28"/>
                <w:szCs w:val="28"/>
              </w:rPr>
            </w:pPr>
            <w:r>
              <w:rPr>
                <w:rFonts w:ascii="Century Gothic" w:hAnsi="Century Gothic"/>
                <w:color w:val="FFFFFF"/>
                <w:sz w:val="28"/>
              </w:rPr>
              <w:t>ZIELE</w:t>
            </w:r>
          </w:p>
        </w:tc>
      </w:tr>
      <w:tr w:rsidR="004F45A8" w:rsidRPr="004F45A8" w14:paraId="0FDE71C8" w14:textId="77777777" w:rsidTr="00A83DF7">
        <w:trPr>
          <w:trHeight w:val="850"/>
        </w:trPr>
        <w:tc>
          <w:tcPr>
            <w:tcW w:w="33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EEAF6" w:themeFill="accent5" w:themeFillTint="33"/>
            <w:vAlign w:val="center"/>
            <w:hideMark/>
          </w:tcPr>
          <w:p w14:paraId="543586E3" w14:textId="77777777" w:rsidR="00D315A9" w:rsidRPr="008F7A0B" w:rsidRDefault="00D315A9" w:rsidP="00E25329">
            <w:pPr>
              <w:rPr>
                <w:rFonts w:ascii="Century Gothic" w:eastAsia="Times New Roman" w:hAnsi="Century Gothic" w:cs="Times New Roman"/>
                <w:color w:val="595959" w:themeColor="text1" w:themeTint="A6"/>
                <w:sz w:val="20"/>
                <w:szCs w:val="20"/>
              </w:rPr>
            </w:pPr>
            <w:r>
              <w:rPr>
                <w:rFonts w:ascii="Century Gothic" w:hAnsi="Century Gothic"/>
                <w:b/>
                <w:color w:val="595959" w:themeColor="text1" w:themeTint="A6"/>
                <w:sz w:val="20"/>
              </w:rPr>
              <w:t xml:space="preserve">HINDERNISSE </w:t>
            </w:r>
            <w:r w:rsidRPr="008F7A0B">
              <w:rPr>
                <w:rFonts w:ascii="Century Gothic" w:hAnsi="Century Gothic"/>
                <w:color w:val="595959" w:themeColor="text1" w:themeTint="A6"/>
                <w:sz w:val="20"/>
                <w:szCs w:val="20"/>
              </w:rPr>
              <w:t>– was uns daran hindern könnte, unsere Vision zu verwirklichen</w:t>
            </w:r>
          </w:p>
        </w:tc>
        <w:tc>
          <w:tcPr>
            <w:tcW w:w="107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2484A5EE" w14:textId="2C365BC7" w:rsidR="00D315A9" w:rsidRPr="007B0253" w:rsidRDefault="00DF1DBC" w:rsidP="00E25329">
            <w:pPr>
              <w:rPr>
                <w:rFonts w:ascii="Century Gothic" w:eastAsia="Times New Roman" w:hAnsi="Century Gothic" w:cs="Times New Roman"/>
                <w:color w:val="000000" w:themeColor="text1"/>
                <w:sz w:val="20"/>
                <w:szCs w:val="20"/>
              </w:rPr>
            </w:pPr>
            <w:r>
              <w:rPr>
                <w:rFonts w:ascii="Century Gothic" w:hAnsi="Century Gothic"/>
                <w:color w:val="000000" w:themeColor="text1"/>
                <w:sz w:val="20"/>
              </w:rPr>
              <w:t>Zurechtfindung im sich schnell verändernden Hochschulwesen, einschließlich technologischer Fortschritte, demografischer Veränderungen und steigender Anforderungen an Rechenschaftspflicht und Nachhaltigkeit</w:t>
            </w:r>
          </w:p>
        </w:tc>
      </w:tr>
      <w:tr w:rsidR="004F45A8" w:rsidRPr="004F45A8" w14:paraId="209DF494" w14:textId="77777777" w:rsidTr="00A83DF7">
        <w:trPr>
          <w:trHeight w:val="919"/>
        </w:trPr>
        <w:tc>
          <w:tcPr>
            <w:tcW w:w="33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EEAF6" w:themeFill="accent5" w:themeFillTint="33"/>
            <w:vAlign w:val="center"/>
            <w:hideMark/>
          </w:tcPr>
          <w:p w14:paraId="63BFC2B9" w14:textId="77777777" w:rsidR="00D315A9" w:rsidRPr="008F7A0B" w:rsidRDefault="00D315A9" w:rsidP="00E25329">
            <w:pPr>
              <w:rPr>
                <w:rFonts w:ascii="Century Gothic" w:eastAsia="Times New Roman" w:hAnsi="Century Gothic" w:cs="Times New Roman"/>
                <w:color w:val="595959" w:themeColor="text1" w:themeTint="A6"/>
                <w:sz w:val="20"/>
                <w:szCs w:val="20"/>
              </w:rPr>
            </w:pPr>
            <w:r>
              <w:rPr>
                <w:rFonts w:ascii="Century Gothic" w:hAnsi="Century Gothic"/>
                <w:b/>
                <w:color w:val="595959" w:themeColor="text1" w:themeTint="A6"/>
                <w:sz w:val="20"/>
              </w:rPr>
              <w:t xml:space="preserve">LANGFRISTIGE ZIELE </w:t>
            </w:r>
            <w:r w:rsidRPr="008F7A0B">
              <w:rPr>
                <w:rFonts w:ascii="Century Gothic" w:hAnsi="Century Gothic"/>
                <w:color w:val="595959" w:themeColor="text1" w:themeTint="A6"/>
                <w:sz w:val="20"/>
                <w:szCs w:val="20"/>
              </w:rPr>
              <w:t>– was wir tun werden, um unsere Vision zu verwirklichen</w:t>
            </w:r>
          </w:p>
        </w:tc>
        <w:tc>
          <w:tcPr>
            <w:tcW w:w="107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63B8C11C" w14:textId="57231EEB" w:rsidR="00DF1DBC" w:rsidRPr="007B0253" w:rsidRDefault="00DF1DBC" w:rsidP="00DF1DBC">
            <w:pPr>
              <w:pStyle w:val="ListParagraph"/>
              <w:numPr>
                <w:ilvl w:val="0"/>
                <w:numId w:val="2"/>
              </w:numPr>
              <w:rPr>
                <w:rFonts w:ascii="Century Gothic" w:eastAsia="Times New Roman" w:hAnsi="Century Gothic" w:cs="Times New Roman"/>
                <w:color w:val="000000" w:themeColor="text1"/>
                <w:sz w:val="20"/>
                <w:szCs w:val="20"/>
              </w:rPr>
            </w:pPr>
            <w:r>
              <w:rPr>
                <w:rFonts w:ascii="Century Gothic" w:hAnsi="Century Gothic"/>
                <w:color w:val="000000" w:themeColor="text1"/>
                <w:sz w:val="20"/>
              </w:rPr>
              <w:t>Bis 20XX ein klimaneutraler Campus werden</w:t>
            </w:r>
          </w:p>
          <w:p w14:paraId="41D53B25" w14:textId="77777777" w:rsidR="00DF1DBC" w:rsidRPr="007B0253" w:rsidRDefault="00DF1DBC" w:rsidP="00DF1DBC">
            <w:pPr>
              <w:pStyle w:val="ListParagraph"/>
              <w:numPr>
                <w:ilvl w:val="0"/>
                <w:numId w:val="2"/>
              </w:numPr>
              <w:rPr>
                <w:rFonts w:ascii="Century Gothic" w:eastAsia="Times New Roman" w:hAnsi="Century Gothic" w:cs="Times New Roman"/>
                <w:color w:val="000000" w:themeColor="text1"/>
                <w:sz w:val="20"/>
                <w:szCs w:val="20"/>
              </w:rPr>
            </w:pPr>
            <w:r>
              <w:rPr>
                <w:rFonts w:ascii="Century Gothic" w:hAnsi="Century Gothic"/>
                <w:color w:val="000000" w:themeColor="text1"/>
                <w:sz w:val="20"/>
              </w:rPr>
              <w:t>Bis 20XX eine Erhöhung der Forschungsförderung um 50 % erreichen</w:t>
            </w:r>
          </w:p>
          <w:p w14:paraId="4E9E0E78" w14:textId="2C4ACA77" w:rsidR="00D315A9" w:rsidRPr="007B0253" w:rsidRDefault="00DF1DBC" w:rsidP="00DF1DBC">
            <w:pPr>
              <w:pStyle w:val="ListParagraph"/>
              <w:numPr>
                <w:ilvl w:val="0"/>
                <w:numId w:val="2"/>
              </w:numPr>
              <w:rPr>
                <w:rFonts w:ascii="Century Gothic" w:eastAsia="Times New Roman" w:hAnsi="Century Gothic" w:cs="Times New Roman"/>
                <w:color w:val="000000" w:themeColor="text1"/>
                <w:sz w:val="20"/>
                <w:szCs w:val="20"/>
              </w:rPr>
            </w:pPr>
            <w:r>
              <w:rPr>
                <w:rFonts w:ascii="Century Gothic" w:hAnsi="Century Gothic"/>
                <w:color w:val="000000" w:themeColor="text1"/>
                <w:sz w:val="20"/>
              </w:rPr>
              <w:t>Globales Engagement durch internationale Partnerschaften und Programme verstärken</w:t>
            </w:r>
          </w:p>
        </w:tc>
      </w:tr>
      <w:tr w:rsidR="004F45A8" w:rsidRPr="004F45A8" w14:paraId="2C0CC582" w14:textId="77777777" w:rsidTr="00A83DF7">
        <w:trPr>
          <w:trHeight w:val="1632"/>
        </w:trPr>
        <w:tc>
          <w:tcPr>
            <w:tcW w:w="33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EEAF6" w:themeFill="accent5" w:themeFillTint="33"/>
            <w:vAlign w:val="center"/>
            <w:hideMark/>
          </w:tcPr>
          <w:p w14:paraId="66BC8337" w14:textId="77777777" w:rsidR="00D315A9" w:rsidRPr="008F7A0B" w:rsidRDefault="00D315A9" w:rsidP="00E25329">
            <w:pPr>
              <w:rPr>
                <w:rFonts w:ascii="Century Gothic" w:eastAsia="Times New Roman" w:hAnsi="Century Gothic" w:cs="Times New Roman"/>
                <w:color w:val="595959" w:themeColor="text1" w:themeTint="A6"/>
                <w:sz w:val="20"/>
                <w:szCs w:val="20"/>
              </w:rPr>
            </w:pPr>
            <w:r>
              <w:rPr>
                <w:rFonts w:ascii="Century Gothic" w:hAnsi="Century Gothic"/>
                <w:b/>
                <w:color w:val="595959" w:themeColor="text1" w:themeTint="A6"/>
                <w:sz w:val="20"/>
              </w:rPr>
              <w:t xml:space="preserve">KURZFRISTIGE ZIELE </w:t>
            </w:r>
            <w:r w:rsidRPr="008F7A0B">
              <w:rPr>
                <w:rFonts w:ascii="Century Gothic" w:hAnsi="Century Gothic"/>
                <w:color w:val="595959" w:themeColor="text1" w:themeTint="A6"/>
                <w:sz w:val="20"/>
                <w:szCs w:val="20"/>
              </w:rPr>
              <w:t>– was wir im 1., 2., 3. Jahr usw. tun werden</w:t>
            </w:r>
          </w:p>
        </w:tc>
        <w:tc>
          <w:tcPr>
            <w:tcW w:w="107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4AC0E39B" w14:textId="7458A0F7" w:rsidR="007B0253" w:rsidRPr="007B0253" w:rsidRDefault="007B0253" w:rsidP="007B0253">
            <w:pPr>
              <w:pStyle w:val="ListParagraph"/>
              <w:numPr>
                <w:ilvl w:val="0"/>
                <w:numId w:val="3"/>
              </w:numPr>
              <w:rPr>
                <w:rFonts w:ascii="Century Gothic" w:eastAsia="Times New Roman" w:hAnsi="Century Gothic" w:cs="Times New Roman"/>
                <w:color w:val="000000" w:themeColor="text1"/>
                <w:sz w:val="20"/>
                <w:szCs w:val="20"/>
              </w:rPr>
            </w:pPr>
            <w:r>
              <w:rPr>
                <w:rFonts w:ascii="Century Gothic" w:hAnsi="Century Gothic"/>
                <w:color w:val="000000" w:themeColor="text1"/>
                <w:sz w:val="20"/>
              </w:rPr>
              <w:t>Verbesserung der Bindungsquote von Studierenden um 10 % innerhalb des nächsten akademischen Jahres</w:t>
            </w:r>
          </w:p>
          <w:p w14:paraId="64E896E9" w14:textId="77777777" w:rsidR="007B0253" w:rsidRPr="007B0253" w:rsidRDefault="007B0253" w:rsidP="007B0253">
            <w:pPr>
              <w:pStyle w:val="ListParagraph"/>
              <w:numPr>
                <w:ilvl w:val="0"/>
                <w:numId w:val="3"/>
              </w:numPr>
              <w:rPr>
                <w:rFonts w:ascii="Century Gothic" w:eastAsia="Times New Roman" w:hAnsi="Century Gothic" w:cs="Times New Roman"/>
                <w:color w:val="000000" w:themeColor="text1"/>
                <w:sz w:val="20"/>
                <w:szCs w:val="20"/>
              </w:rPr>
            </w:pPr>
            <w:r>
              <w:rPr>
                <w:rFonts w:ascii="Century Gothic" w:hAnsi="Century Gothic"/>
                <w:color w:val="000000" w:themeColor="text1"/>
                <w:sz w:val="20"/>
              </w:rPr>
              <w:t>Start von fünf neuen interdisziplinären Programmen mit Schwerpunkt auf Nachhaltigkeit und Technologie</w:t>
            </w:r>
          </w:p>
          <w:p w14:paraId="6902D0AF" w14:textId="49F24E2C" w:rsidR="00D315A9" w:rsidRPr="007B0253" w:rsidRDefault="007B0253" w:rsidP="007B0253">
            <w:pPr>
              <w:pStyle w:val="ListParagraph"/>
              <w:numPr>
                <w:ilvl w:val="0"/>
                <w:numId w:val="3"/>
              </w:numPr>
              <w:rPr>
                <w:rFonts w:ascii="Century Gothic" w:eastAsia="Times New Roman" w:hAnsi="Century Gothic" w:cs="Times New Roman"/>
                <w:color w:val="000000" w:themeColor="text1"/>
                <w:sz w:val="20"/>
                <w:szCs w:val="20"/>
              </w:rPr>
            </w:pPr>
            <w:r>
              <w:rPr>
                <w:rFonts w:ascii="Century Gothic" w:hAnsi="Century Gothic"/>
                <w:color w:val="000000" w:themeColor="text1"/>
                <w:sz w:val="20"/>
              </w:rPr>
              <w:t>Ausweitung der gemeinnützigen Initiativen, um bis Ende des Jahres 75 % der Studentenschaft einzubeziehen</w:t>
            </w:r>
          </w:p>
        </w:tc>
      </w:tr>
      <w:tr w:rsidR="004F45A8" w:rsidRPr="004F45A8" w14:paraId="1717C8EF" w14:textId="77777777" w:rsidTr="00A83DF7">
        <w:trPr>
          <w:trHeight w:val="1381"/>
        </w:trPr>
        <w:tc>
          <w:tcPr>
            <w:tcW w:w="339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EEAF6" w:themeFill="accent5" w:themeFillTint="33"/>
            <w:vAlign w:val="center"/>
            <w:hideMark/>
          </w:tcPr>
          <w:p w14:paraId="0101D057" w14:textId="77777777" w:rsidR="00D315A9" w:rsidRPr="008F7A0B" w:rsidRDefault="00D315A9" w:rsidP="00E25329">
            <w:pPr>
              <w:rPr>
                <w:rFonts w:ascii="Century Gothic" w:eastAsia="Times New Roman" w:hAnsi="Century Gothic" w:cs="Times New Roman"/>
                <w:color w:val="595959" w:themeColor="text1" w:themeTint="A6"/>
                <w:sz w:val="20"/>
                <w:szCs w:val="20"/>
              </w:rPr>
            </w:pPr>
            <w:r>
              <w:rPr>
                <w:rFonts w:ascii="Century Gothic" w:hAnsi="Century Gothic"/>
                <w:b/>
                <w:color w:val="595959" w:themeColor="text1" w:themeTint="A6"/>
                <w:sz w:val="20"/>
              </w:rPr>
              <w:t xml:space="preserve">MESSUNG DES ERFOLGS </w:t>
            </w:r>
            <w:r w:rsidRPr="008F7A0B">
              <w:rPr>
                <w:rFonts w:ascii="Century Gothic" w:hAnsi="Century Gothic"/>
                <w:color w:val="595959" w:themeColor="text1" w:themeTint="A6"/>
                <w:sz w:val="20"/>
                <w:szCs w:val="20"/>
              </w:rPr>
              <w:t>– welche Benchmarks werden als Indikatoren für den Erfolg verwendet</w:t>
            </w:r>
          </w:p>
        </w:tc>
        <w:tc>
          <w:tcPr>
            <w:tcW w:w="107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2D5BBFC3" w14:textId="641D93AE" w:rsidR="007B0253" w:rsidRPr="007B0253" w:rsidRDefault="007B0253" w:rsidP="007B0253">
            <w:pPr>
              <w:pStyle w:val="ListParagraph"/>
              <w:numPr>
                <w:ilvl w:val="0"/>
                <w:numId w:val="4"/>
              </w:numPr>
              <w:rPr>
                <w:rFonts w:ascii="Century Gothic" w:eastAsia="Times New Roman" w:hAnsi="Century Gothic" w:cs="Times New Roman"/>
                <w:color w:val="000000" w:themeColor="text1"/>
                <w:sz w:val="20"/>
                <w:szCs w:val="20"/>
              </w:rPr>
            </w:pPr>
            <w:r>
              <w:rPr>
                <w:rFonts w:ascii="Century Gothic" w:hAnsi="Century Gothic"/>
                <w:color w:val="000000" w:themeColor="text1"/>
                <w:sz w:val="20"/>
              </w:rPr>
              <w:t>Nachverfolgung der Fortschritte auf dem Weg zur Klimaneutralität durch jährliche Nachhaltigkeitsberichte</w:t>
            </w:r>
          </w:p>
          <w:p w14:paraId="33D87767" w14:textId="77777777" w:rsidR="007B0253" w:rsidRPr="007B0253" w:rsidRDefault="007B0253" w:rsidP="007B0253">
            <w:pPr>
              <w:pStyle w:val="ListParagraph"/>
              <w:numPr>
                <w:ilvl w:val="0"/>
                <w:numId w:val="4"/>
              </w:numPr>
              <w:rPr>
                <w:rFonts w:ascii="Century Gothic" w:eastAsia="Times New Roman" w:hAnsi="Century Gothic" w:cs="Times New Roman"/>
                <w:color w:val="000000" w:themeColor="text1"/>
                <w:sz w:val="20"/>
                <w:szCs w:val="20"/>
              </w:rPr>
            </w:pPr>
            <w:r>
              <w:rPr>
                <w:rFonts w:ascii="Century Gothic" w:hAnsi="Century Gothic"/>
                <w:color w:val="000000" w:themeColor="text1"/>
                <w:sz w:val="20"/>
              </w:rPr>
              <w:t>Überwachung der Höhe der Forschungsförderung und der Auswirkungen der Forschungsaktivitäten</w:t>
            </w:r>
          </w:p>
          <w:p w14:paraId="3DA2515A" w14:textId="126982E9" w:rsidR="00D315A9" w:rsidRPr="007B0253" w:rsidRDefault="007B0253" w:rsidP="007B0253">
            <w:pPr>
              <w:pStyle w:val="ListParagraph"/>
              <w:numPr>
                <w:ilvl w:val="0"/>
                <w:numId w:val="4"/>
              </w:numPr>
              <w:rPr>
                <w:rFonts w:ascii="Century Gothic" w:eastAsia="Times New Roman" w:hAnsi="Century Gothic" w:cs="Times New Roman"/>
                <w:color w:val="000000" w:themeColor="text1"/>
                <w:sz w:val="20"/>
                <w:szCs w:val="20"/>
              </w:rPr>
            </w:pPr>
            <w:r>
              <w:rPr>
                <w:rFonts w:ascii="Century Gothic" w:hAnsi="Century Gothic"/>
                <w:color w:val="000000" w:themeColor="text1"/>
                <w:sz w:val="20"/>
              </w:rPr>
              <w:t>Bewertung der Bemühungen um die Bindung von Studierenden durch Immatrikulationsdaten und Studierendenbefragungen</w:t>
            </w:r>
          </w:p>
        </w:tc>
      </w:tr>
      <w:tr w:rsidR="00D315A9" w:rsidRPr="00E94F29" w14:paraId="45DDED26" w14:textId="77777777" w:rsidTr="00A83DF7">
        <w:trPr>
          <w:trHeight w:val="162"/>
        </w:trPr>
        <w:tc>
          <w:tcPr>
            <w:tcW w:w="3397" w:type="dxa"/>
            <w:tcBorders>
              <w:top w:val="single" w:sz="4" w:space="0" w:color="BFBFBF" w:themeColor="background1" w:themeShade="BF"/>
              <w:left w:val="nil"/>
              <w:bottom w:val="single" w:sz="4" w:space="0" w:color="BFBFBF" w:themeColor="background1" w:themeShade="BF"/>
              <w:right w:val="nil"/>
            </w:tcBorders>
            <w:shd w:val="clear" w:color="auto" w:fill="auto"/>
            <w:vAlign w:val="bottom"/>
            <w:hideMark/>
          </w:tcPr>
          <w:p w14:paraId="06843299" w14:textId="77777777" w:rsidR="00D315A9" w:rsidRPr="00E94F29" w:rsidRDefault="00D315A9" w:rsidP="00D315A9">
            <w:pPr>
              <w:rPr>
                <w:rFonts w:ascii="Century Gothic" w:eastAsia="Times New Roman" w:hAnsi="Century Gothic" w:cs="Times New Roman"/>
                <w:color w:val="000000"/>
                <w:sz w:val="20"/>
                <w:szCs w:val="20"/>
              </w:rPr>
            </w:pPr>
          </w:p>
        </w:tc>
        <w:tc>
          <w:tcPr>
            <w:tcW w:w="10728" w:type="dxa"/>
            <w:tcBorders>
              <w:top w:val="single" w:sz="4" w:space="0" w:color="BFBFBF" w:themeColor="background1" w:themeShade="BF"/>
              <w:left w:val="nil"/>
              <w:bottom w:val="single" w:sz="4" w:space="0" w:color="BFBFBF" w:themeColor="background1" w:themeShade="BF"/>
              <w:right w:val="nil"/>
            </w:tcBorders>
            <w:shd w:val="clear" w:color="auto" w:fill="auto"/>
            <w:vAlign w:val="center"/>
            <w:hideMark/>
          </w:tcPr>
          <w:p w14:paraId="1895CCC9" w14:textId="77777777" w:rsidR="00D315A9" w:rsidRPr="00E94F29" w:rsidRDefault="00D315A9" w:rsidP="00E25329">
            <w:pPr>
              <w:rPr>
                <w:rFonts w:ascii="Century Gothic" w:eastAsia="Times New Roman" w:hAnsi="Century Gothic" w:cs="Times New Roman"/>
                <w:sz w:val="20"/>
                <w:szCs w:val="20"/>
              </w:rPr>
            </w:pPr>
          </w:p>
        </w:tc>
      </w:tr>
      <w:tr w:rsidR="00D315A9" w:rsidRPr="00E94F29" w14:paraId="34F61F8F" w14:textId="77777777" w:rsidTr="008F7A0B">
        <w:trPr>
          <w:trHeight w:val="480"/>
        </w:trPr>
        <w:tc>
          <w:tcPr>
            <w:tcW w:w="1412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E74B5" w:themeFill="accent5" w:themeFillShade="BF"/>
            <w:vAlign w:val="center"/>
            <w:hideMark/>
          </w:tcPr>
          <w:p w14:paraId="6DDF9222" w14:textId="77777777" w:rsidR="00D315A9" w:rsidRPr="008F7A0B" w:rsidRDefault="00D315A9" w:rsidP="0025175F">
            <w:pPr>
              <w:rPr>
                <w:rFonts w:ascii="Century Gothic" w:eastAsia="Times New Roman" w:hAnsi="Century Gothic" w:cs="Times New Roman"/>
                <w:color w:val="FFFFFF" w:themeColor="background1"/>
                <w:sz w:val="28"/>
                <w:szCs w:val="28"/>
              </w:rPr>
            </w:pPr>
            <w:r>
              <w:rPr>
                <w:rFonts w:ascii="Century Gothic" w:hAnsi="Century Gothic"/>
                <w:color w:val="FFFFFF" w:themeColor="background1"/>
                <w:sz w:val="28"/>
              </w:rPr>
              <w:t>STRATEGIE</w:t>
            </w:r>
          </w:p>
        </w:tc>
      </w:tr>
      <w:tr w:rsidR="004F45A8" w:rsidRPr="004F45A8" w14:paraId="375EBA28" w14:textId="77777777" w:rsidTr="00A83DF7">
        <w:trPr>
          <w:trHeight w:val="1017"/>
        </w:trPr>
        <w:tc>
          <w:tcPr>
            <w:tcW w:w="3397" w:type="dxa"/>
            <w:tcBorders>
              <w:top w:val="nil"/>
              <w:left w:val="single" w:sz="4" w:space="0" w:color="BFBFBF"/>
              <w:bottom w:val="single" w:sz="4" w:space="0" w:color="BFBFBF"/>
              <w:right w:val="single" w:sz="4" w:space="0" w:color="BFBFBF" w:themeColor="background1" w:themeShade="BF"/>
            </w:tcBorders>
            <w:shd w:val="clear" w:color="auto" w:fill="DEEAF6" w:themeFill="accent5" w:themeFillTint="33"/>
            <w:vAlign w:val="center"/>
            <w:hideMark/>
          </w:tcPr>
          <w:p w14:paraId="61257881" w14:textId="77777777" w:rsidR="00D315A9" w:rsidRPr="008F7A0B" w:rsidRDefault="00D315A9" w:rsidP="00E25329">
            <w:pPr>
              <w:rPr>
                <w:rFonts w:ascii="Century Gothic" w:eastAsia="Times New Roman" w:hAnsi="Century Gothic" w:cs="Times New Roman"/>
                <w:color w:val="595959" w:themeColor="text1" w:themeTint="A6"/>
                <w:sz w:val="20"/>
                <w:szCs w:val="20"/>
              </w:rPr>
            </w:pPr>
            <w:r>
              <w:rPr>
                <w:rFonts w:ascii="Century Gothic" w:hAnsi="Century Gothic"/>
                <w:b/>
                <w:color w:val="595959" w:themeColor="text1" w:themeTint="A6"/>
                <w:sz w:val="20"/>
              </w:rPr>
              <w:t>RESSOURCENBEWERTUNG</w:t>
            </w:r>
            <w:r w:rsidRPr="008F7A0B">
              <w:rPr>
                <w:rFonts w:ascii="Century Gothic" w:hAnsi="Century Gothic"/>
                <w:color w:val="595959" w:themeColor="text1" w:themeTint="A6"/>
                <w:sz w:val="20"/>
                <w:szCs w:val="20"/>
              </w:rPr>
              <w:t xml:space="preserve"> – Infrastruktur, die für die Verwirklichung der Vision erforderlich ist</w:t>
            </w:r>
          </w:p>
        </w:tc>
        <w:tc>
          <w:tcPr>
            <w:tcW w:w="107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758CD89B" w14:textId="6FFD4DFC" w:rsidR="00D315A9" w:rsidRPr="007753F0" w:rsidRDefault="00225E8E" w:rsidP="007C4648">
            <w:pPr>
              <w:rPr>
                <w:rFonts w:ascii="Century Gothic" w:eastAsia="Times New Roman" w:hAnsi="Century Gothic" w:cs="Times New Roman"/>
                <w:color w:val="000000" w:themeColor="text1"/>
                <w:sz w:val="20"/>
                <w:szCs w:val="20"/>
              </w:rPr>
            </w:pPr>
            <w:r>
              <w:rPr>
                <w:rFonts w:ascii="Century Gothic" w:hAnsi="Century Gothic"/>
                <w:color w:val="000000" w:themeColor="text1"/>
                <w:sz w:val="20"/>
              </w:rPr>
              <w:t>Umfassende Bewertung der finanziellen, personellen und physischen Ressourcen zur Unterstützung strategischer Initiativen, Ermittlung von Bereichen für Umverteilungen oder Investitionen, um strategische Ziele zu erreichen</w:t>
            </w:r>
          </w:p>
        </w:tc>
      </w:tr>
      <w:tr w:rsidR="004F45A8" w:rsidRPr="004F45A8" w14:paraId="6B246EBB" w14:textId="77777777" w:rsidTr="00A83DF7">
        <w:trPr>
          <w:trHeight w:val="877"/>
        </w:trPr>
        <w:tc>
          <w:tcPr>
            <w:tcW w:w="3397" w:type="dxa"/>
            <w:tcBorders>
              <w:top w:val="nil"/>
              <w:left w:val="single" w:sz="4" w:space="0" w:color="BFBFBF"/>
              <w:bottom w:val="single" w:sz="4" w:space="0" w:color="BFBFBF"/>
              <w:right w:val="single" w:sz="4" w:space="0" w:color="BFBFBF" w:themeColor="background1" w:themeShade="BF"/>
            </w:tcBorders>
            <w:shd w:val="clear" w:color="auto" w:fill="DEEAF6" w:themeFill="accent5" w:themeFillTint="33"/>
            <w:vAlign w:val="center"/>
            <w:hideMark/>
          </w:tcPr>
          <w:p w14:paraId="48185025" w14:textId="77777777" w:rsidR="00D315A9" w:rsidRPr="008F7A0B" w:rsidRDefault="00D315A9" w:rsidP="00E25329">
            <w:pPr>
              <w:rPr>
                <w:rFonts w:ascii="Century Gothic" w:eastAsia="Times New Roman" w:hAnsi="Century Gothic" w:cs="Times New Roman"/>
                <w:color w:val="595959" w:themeColor="text1" w:themeTint="A6"/>
                <w:sz w:val="20"/>
                <w:szCs w:val="20"/>
              </w:rPr>
            </w:pPr>
            <w:r>
              <w:rPr>
                <w:rFonts w:ascii="Century Gothic" w:hAnsi="Century Gothic"/>
                <w:b/>
                <w:color w:val="595959" w:themeColor="text1" w:themeTint="A6"/>
                <w:sz w:val="20"/>
              </w:rPr>
              <w:t xml:space="preserve">IMPLEMENTIERUNG </w:t>
            </w:r>
            <w:r>
              <w:rPr>
                <w:rFonts w:ascii="Century Gothic" w:hAnsi="Century Gothic"/>
                <w:color w:val="595959" w:themeColor="text1" w:themeTint="A6"/>
                <w:sz w:val="20"/>
              </w:rPr>
              <w:t>– Planen Sie, was erledigt wird, zusammen mit Abschlussfristen</w:t>
            </w:r>
          </w:p>
        </w:tc>
        <w:tc>
          <w:tcPr>
            <w:tcW w:w="107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67C77D72" w14:textId="0967D905" w:rsidR="00D315A9" w:rsidRPr="007753F0" w:rsidRDefault="00225E8E" w:rsidP="007C4648">
            <w:pPr>
              <w:rPr>
                <w:rFonts w:ascii="Century Gothic" w:eastAsia="Times New Roman" w:hAnsi="Century Gothic" w:cs="Times New Roman"/>
                <w:color w:val="000000" w:themeColor="text1"/>
                <w:sz w:val="20"/>
                <w:szCs w:val="20"/>
              </w:rPr>
            </w:pPr>
            <w:r>
              <w:rPr>
                <w:rFonts w:ascii="Century Gothic" w:hAnsi="Century Gothic"/>
                <w:color w:val="000000" w:themeColor="text1"/>
                <w:sz w:val="20"/>
              </w:rPr>
              <w:t>Entwicklung detaillierter Aktionspläne für jede strategische Initiative, einschließlich Zeitplänen, Verantwortlichen und erforderlichen Ressourcen Betonung von Flexibilität und Anpassungsfähigkeit, um unvorhergesehene Herausforderungen zu meistern</w:t>
            </w:r>
          </w:p>
        </w:tc>
      </w:tr>
      <w:tr w:rsidR="004F45A8" w:rsidRPr="004F45A8" w14:paraId="79DC7983" w14:textId="77777777" w:rsidTr="00A83DF7">
        <w:trPr>
          <w:trHeight w:val="835"/>
        </w:trPr>
        <w:tc>
          <w:tcPr>
            <w:tcW w:w="3397" w:type="dxa"/>
            <w:tcBorders>
              <w:top w:val="nil"/>
              <w:left w:val="single" w:sz="4" w:space="0" w:color="BFBFBF"/>
              <w:bottom w:val="single" w:sz="4" w:space="0" w:color="BFBFBF"/>
              <w:right w:val="single" w:sz="4" w:space="0" w:color="BFBFBF" w:themeColor="background1" w:themeShade="BF"/>
            </w:tcBorders>
            <w:shd w:val="clear" w:color="auto" w:fill="DEEAF6" w:themeFill="accent5" w:themeFillTint="33"/>
            <w:vAlign w:val="center"/>
            <w:hideMark/>
          </w:tcPr>
          <w:p w14:paraId="6FB8E07C" w14:textId="77777777" w:rsidR="00D315A9" w:rsidRPr="008F7A0B" w:rsidRDefault="00D315A9" w:rsidP="00E25329">
            <w:pPr>
              <w:rPr>
                <w:rFonts w:ascii="Century Gothic" w:eastAsia="Times New Roman" w:hAnsi="Century Gothic" w:cs="Times New Roman"/>
                <w:color w:val="595959" w:themeColor="text1" w:themeTint="A6"/>
                <w:sz w:val="20"/>
                <w:szCs w:val="20"/>
              </w:rPr>
            </w:pPr>
            <w:r>
              <w:rPr>
                <w:rFonts w:ascii="Century Gothic" w:hAnsi="Century Gothic"/>
                <w:b/>
                <w:color w:val="595959" w:themeColor="text1" w:themeTint="A6"/>
                <w:sz w:val="20"/>
              </w:rPr>
              <w:t xml:space="preserve">VERBREITUNG </w:t>
            </w:r>
            <w:r w:rsidRPr="008F7A0B">
              <w:rPr>
                <w:rFonts w:ascii="Century Gothic" w:hAnsi="Century Gothic"/>
                <w:color w:val="595959" w:themeColor="text1" w:themeTint="A6"/>
                <w:sz w:val="20"/>
                <w:szCs w:val="20"/>
              </w:rPr>
              <w:t>- wie der Plan angekündigt / zugewiesen wird und wem</w:t>
            </w:r>
          </w:p>
        </w:tc>
        <w:tc>
          <w:tcPr>
            <w:tcW w:w="107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2288EC43" w14:textId="723C2BC3" w:rsidR="00D315A9" w:rsidRPr="007753F0" w:rsidRDefault="00225E8E" w:rsidP="007C4648">
            <w:pPr>
              <w:rPr>
                <w:rFonts w:ascii="Century Gothic" w:eastAsia="Times New Roman" w:hAnsi="Century Gothic" w:cs="Times New Roman"/>
                <w:color w:val="000000" w:themeColor="text1"/>
                <w:sz w:val="20"/>
                <w:szCs w:val="20"/>
              </w:rPr>
            </w:pPr>
            <w:r>
              <w:rPr>
                <w:rFonts w:ascii="Century Gothic" w:hAnsi="Century Gothic"/>
                <w:color w:val="000000" w:themeColor="text1"/>
                <w:sz w:val="20"/>
              </w:rPr>
              <w:t>Kommunikation des Strategieplans an alle Stakeholder*innen der Universität über mehrere Kanäle, Gewährleistung von Transparenz und Förderung eines gemeinsamen Ziels und Engagements</w:t>
            </w:r>
          </w:p>
        </w:tc>
      </w:tr>
      <w:tr w:rsidR="007753F0" w:rsidRPr="004F45A8" w14:paraId="7E929D61" w14:textId="77777777" w:rsidTr="00A83DF7">
        <w:trPr>
          <w:trHeight w:val="1352"/>
        </w:trPr>
        <w:tc>
          <w:tcPr>
            <w:tcW w:w="3397" w:type="dxa"/>
            <w:tcBorders>
              <w:top w:val="nil"/>
              <w:left w:val="single" w:sz="4" w:space="0" w:color="BFBFBF"/>
              <w:bottom w:val="single" w:sz="4" w:space="0" w:color="BFBFBF"/>
              <w:right w:val="single" w:sz="4" w:space="0" w:color="BFBFBF" w:themeColor="background1" w:themeShade="BF"/>
            </w:tcBorders>
            <w:shd w:val="clear" w:color="auto" w:fill="DEEAF6" w:themeFill="accent5" w:themeFillTint="33"/>
            <w:vAlign w:val="center"/>
          </w:tcPr>
          <w:p w14:paraId="17CF1BAF" w14:textId="18E04C25" w:rsidR="007753F0" w:rsidRPr="00A83DF7" w:rsidRDefault="007753F0" w:rsidP="00012620">
            <w:pPr>
              <w:keepNext/>
              <w:keepLines/>
              <w:rPr>
                <w:rFonts w:ascii="Century Gothic" w:eastAsia="Times New Roman" w:hAnsi="Century Gothic" w:cs="Times New Roman"/>
                <w:b/>
                <w:color w:val="595959" w:themeColor="text1" w:themeTint="A6"/>
                <w:spacing w:val="-4"/>
                <w:sz w:val="20"/>
                <w:szCs w:val="20"/>
              </w:rPr>
            </w:pPr>
            <w:r w:rsidRPr="00A83DF7">
              <w:rPr>
                <w:rFonts w:ascii="Century Gothic" w:hAnsi="Century Gothic"/>
                <w:b/>
                <w:color w:val="595959" w:themeColor="text1" w:themeTint="A6"/>
                <w:spacing w:val="-4"/>
                <w:sz w:val="20"/>
              </w:rPr>
              <w:lastRenderedPageBreak/>
              <w:t xml:space="preserve">FORTSCHRITTSBEWERTUNGSPLAN </w:t>
            </w:r>
            <w:r w:rsidRPr="00A83DF7">
              <w:rPr>
                <w:rFonts w:ascii="Century Gothic" w:hAnsi="Century Gothic"/>
                <w:color w:val="595959" w:themeColor="text1" w:themeTint="A6"/>
                <w:spacing w:val="-4"/>
                <w:sz w:val="20"/>
                <w:szCs w:val="20"/>
              </w:rPr>
              <w:t>– wie wir den Fortschritt überwachen, den Erfolg überwachen und Überarbeitungen umsetzen</w:t>
            </w:r>
          </w:p>
        </w:tc>
        <w:tc>
          <w:tcPr>
            <w:tcW w:w="107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F65C710" w14:textId="6FD5E149" w:rsidR="007753F0" w:rsidRPr="007753F0" w:rsidRDefault="007753F0" w:rsidP="00012620">
            <w:pPr>
              <w:keepNext/>
              <w:keepLines/>
              <w:rPr>
                <w:rFonts w:ascii="Century Gothic" w:eastAsia="Times New Roman" w:hAnsi="Century Gothic" w:cs="Times New Roman"/>
                <w:color w:val="000000" w:themeColor="text1"/>
                <w:sz w:val="20"/>
                <w:szCs w:val="20"/>
              </w:rPr>
            </w:pPr>
            <w:r>
              <w:rPr>
                <w:rFonts w:ascii="Century Gothic" w:hAnsi="Century Gothic"/>
                <w:color w:val="000000" w:themeColor="text1"/>
                <w:sz w:val="20"/>
              </w:rPr>
              <w:t>Schaffung eines soliden Rahmens für die regelmäßige Überprüfung und Bewertung des Fortschritts strategischer Initiativen, einschließlich vierteljährlicher Überprüfungen mit Interessengruppen und jährlicher Fortschrittsberichte an die Universitätsgemeinschaft</w:t>
            </w:r>
          </w:p>
        </w:tc>
      </w:tr>
      <w:tr w:rsidR="004F45A8" w:rsidRPr="004F45A8" w14:paraId="1CBE639D" w14:textId="77777777" w:rsidTr="00A83DF7">
        <w:trPr>
          <w:trHeight w:val="2080"/>
        </w:trPr>
        <w:tc>
          <w:tcPr>
            <w:tcW w:w="3397" w:type="dxa"/>
            <w:tcBorders>
              <w:top w:val="nil"/>
              <w:left w:val="single" w:sz="4" w:space="0" w:color="BFBFBF"/>
              <w:bottom w:val="single" w:sz="4" w:space="0" w:color="BFBFBF"/>
              <w:right w:val="single" w:sz="4" w:space="0" w:color="BFBFBF" w:themeColor="background1" w:themeShade="BF"/>
            </w:tcBorders>
            <w:shd w:val="clear" w:color="auto" w:fill="DEEAF6" w:themeFill="accent5" w:themeFillTint="33"/>
            <w:vAlign w:val="center"/>
            <w:hideMark/>
          </w:tcPr>
          <w:p w14:paraId="1A2E991E" w14:textId="58979D27" w:rsidR="00D315A9" w:rsidRPr="008F7A0B" w:rsidRDefault="007753F0" w:rsidP="00E25329">
            <w:pPr>
              <w:rPr>
                <w:rFonts w:ascii="Century Gothic" w:eastAsia="Times New Roman" w:hAnsi="Century Gothic" w:cs="Times New Roman"/>
                <w:color w:val="595959" w:themeColor="text1" w:themeTint="A6"/>
                <w:sz w:val="20"/>
                <w:szCs w:val="20"/>
              </w:rPr>
            </w:pPr>
            <w:r>
              <w:rPr>
                <w:rFonts w:ascii="Century Gothic" w:hAnsi="Century Gothic"/>
                <w:b/>
                <w:color w:val="595959" w:themeColor="text1" w:themeTint="A6"/>
                <w:sz w:val="20"/>
              </w:rPr>
              <w:t>ZEITPLAN</w:t>
            </w:r>
          </w:p>
        </w:tc>
        <w:tc>
          <w:tcPr>
            <w:tcW w:w="107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59E7CA13" w14:textId="77777777" w:rsidR="00B411DC" w:rsidRPr="00B411DC" w:rsidRDefault="00B411DC" w:rsidP="00B411DC">
            <w:pPr>
              <w:rPr>
                <w:rFonts w:ascii="Century Gothic" w:eastAsia="Times New Roman" w:hAnsi="Century Gothic" w:cs="Times New Roman"/>
                <w:color w:val="000000" w:themeColor="text1"/>
                <w:sz w:val="20"/>
                <w:szCs w:val="20"/>
              </w:rPr>
            </w:pPr>
            <w:r>
              <w:rPr>
                <w:rFonts w:ascii="Century Gothic" w:hAnsi="Century Gothic"/>
                <w:color w:val="000000" w:themeColor="text1"/>
                <w:sz w:val="20"/>
              </w:rPr>
              <w:t>Q1: Einführung einer campusweiten Nachhaltigkeitsbewertung und Einleitung der ersten Phase von Projekten zur Klimaneutralität</w:t>
            </w:r>
          </w:p>
          <w:p w14:paraId="2C401FAF" w14:textId="77777777" w:rsidR="00B411DC" w:rsidRPr="00B411DC" w:rsidRDefault="00B411DC" w:rsidP="00B411DC">
            <w:pPr>
              <w:rPr>
                <w:rFonts w:ascii="Century Gothic" w:eastAsia="Times New Roman" w:hAnsi="Century Gothic" w:cs="Times New Roman"/>
                <w:color w:val="000000" w:themeColor="text1"/>
                <w:sz w:val="20"/>
                <w:szCs w:val="20"/>
              </w:rPr>
            </w:pPr>
            <w:r>
              <w:rPr>
                <w:rFonts w:ascii="Century Gothic" w:hAnsi="Century Gothic"/>
                <w:color w:val="000000" w:themeColor="text1"/>
                <w:sz w:val="20"/>
              </w:rPr>
              <w:t>Q2: Einführung neuer interdisziplinärer Programme und Beginn der Entwicklung internationaler Partnerschaftsabkommen</w:t>
            </w:r>
          </w:p>
          <w:p w14:paraId="330C3BD1" w14:textId="77777777" w:rsidR="00B411DC" w:rsidRPr="00B411DC" w:rsidRDefault="00B411DC" w:rsidP="00B411DC">
            <w:pPr>
              <w:rPr>
                <w:rFonts w:ascii="Century Gothic" w:eastAsia="Times New Roman" w:hAnsi="Century Gothic" w:cs="Times New Roman"/>
                <w:color w:val="000000" w:themeColor="text1"/>
                <w:sz w:val="20"/>
                <w:szCs w:val="20"/>
              </w:rPr>
            </w:pPr>
            <w:r>
              <w:rPr>
                <w:rFonts w:ascii="Century Gothic" w:hAnsi="Century Gothic"/>
                <w:color w:val="000000" w:themeColor="text1"/>
                <w:sz w:val="20"/>
              </w:rPr>
              <w:t>Q3: Umsetzung gezielter Maßnahmen zur Verbesserung der Studierendenbindung und Erweiterung von gemeinnützigen Programmen</w:t>
            </w:r>
          </w:p>
          <w:p w14:paraId="08B4D790" w14:textId="775F8016" w:rsidR="00D315A9" w:rsidRPr="007753F0" w:rsidRDefault="00B411DC" w:rsidP="00B411DC">
            <w:pPr>
              <w:rPr>
                <w:rFonts w:ascii="Century Gothic" w:eastAsia="Times New Roman" w:hAnsi="Century Gothic" w:cs="Times New Roman"/>
                <w:color w:val="000000" w:themeColor="text1"/>
                <w:sz w:val="20"/>
                <w:szCs w:val="20"/>
              </w:rPr>
            </w:pPr>
            <w:r>
              <w:rPr>
                <w:rFonts w:ascii="Century Gothic" w:hAnsi="Century Gothic"/>
                <w:color w:val="000000" w:themeColor="text1"/>
                <w:sz w:val="20"/>
              </w:rPr>
              <w:t>Q4: Durchführung der ersten jährlichen Fortschrittsüberprüfung des Strategieplans, Anpassung der Strategien nach Bedarf und Würdigung früher Erfolge bei Initiativen für Nachhaltigkeit und globales Engagement</w:t>
            </w:r>
          </w:p>
        </w:tc>
      </w:tr>
    </w:tbl>
    <w:p w14:paraId="55DAA1FB" w14:textId="77777777" w:rsidR="0025175F" w:rsidRDefault="0025175F" w:rsidP="00A83DF7">
      <w:pPr>
        <w:pageBreakBefore/>
      </w:pPr>
    </w:p>
    <w:p w14:paraId="3F850FAC" w14:textId="77777777" w:rsidR="0025175F" w:rsidRPr="004054B7" w:rsidRDefault="0025175F" w:rsidP="0025175F">
      <w:pPr>
        <w:rPr>
          <w:rFonts w:ascii="Century Gothic" w:hAnsi="Century Gothic" w:cs="Arial"/>
          <w:b/>
          <w:color w:val="808080" w:themeColor="background1" w:themeShade="80"/>
          <w:szCs w:val="36"/>
        </w:rPr>
      </w:pPr>
    </w:p>
    <w:tbl>
      <w:tblPr>
        <w:tblStyle w:val="TableGrid"/>
        <w:tblW w:w="1395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3950"/>
      </w:tblGrid>
      <w:tr w:rsidR="0025175F" w:rsidRPr="00FF18F5" w14:paraId="1BAA2093" w14:textId="77777777" w:rsidTr="008F7A0B">
        <w:trPr>
          <w:trHeight w:val="2826"/>
        </w:trPr>
        <w:tc>
          <w:tcPr>
            <w:tcW w:w="13950" w:type="dxa"/>
          </w:tcPr>
          <w:p w14:paraId="6EB70C21" w14:textId="77777777" w:rsidR="0025175F" w:rsidRPr="00FF18F5" w:rsidRDefault="0025175F" w:rsidP="00EF6034">
            <w:pPr>
              <w:jc w:val="center"/>
              <w:rPr>
                <w:rFonts w:ascii="Century Gothic" w:hAnsi="Century Gothic" w:cs="Arial"/>
                <w:b/>
                <w:sz w:val="20"/>
                <w:szCs w:val="20"/>
              </w:rPr>
            </w:pPr>
            <w:r>
              <w:rPr>
                <w:rFonts w:ascii="Century Gothic" w:hAnsi="Century Gothic"/>
                <w:b/>
                <w:sz w:val="20"/>
              </w:rPr>
              <w:t>HAFTUNGSAUSSCHLUSS</w:t>
            </w:r>
          </w:p>
          <w:p w14:paraId="7F59353C" w14:textId="77777777" w:rsidR="0025175F" w:rsidRPr="00FF18F5" w:rsidRDefault="0025175F" w:rsidP="00EF6034">
            <w:pPr>
              <w:rPr>
                <w:rFonts w:ascii="Century Gothic" w:hAnsi="Century Gothic" w:cs="Arial"/>
                <w:szCs w:val="20"/>
              </w:rPr>
            </w:pPr>
          </w:p>
          <w:p w14:paraId="1C5C4AB1" w14:textId="77777777" w:rsidR="0025175F" w:rsidRPr="00FF18F5" w:rsidRDefault="0025175F" w:rsidP="00EF6034">
            <w:pPr>
              <w:rPr>
                <w:rFonts w:ascii="Century Gothic" w:hAnsi="Century Gothic" w:cs="Arial"/>
                <w:sz w:val="20"/>
                <w:szCs w:val="20"/>
              </w:rPr>
            </w:pPr>
            <w:r>
              <w:rPr>
                <w:rFonts w:ascii="Century Gothic" w:hAnsi="Century Gothic"/>
              </w:rPr>
              <w:t>Alle von Smartsheet auf der Website aufgeführten Artikel, Vorlagen oder Informationen dienen lediglich als Referenz. Wir versuchen, die Informationen stets zu aktualisieren und zu korrigieren. Wir geben jedoch, weder ausdrücklich noch stillschweigend, keine Zusicherungen oder Garantien jeglicher Art über die Vollständigkeit, Genauigkeit, Zuverlässigkeit, Eignung oder Verfügbarkeit in Bezug auf die Website oder die auf der Website enthaltenen Informationen, Artikel, Vorlagen oder zugehörigen Grafiken. Die Nutzung dieser Informationen erfolgt deshalb auf eigenes Risiko.</w:t>
            </w:r>
          </w:p>
        </w:tc>
      </w:tr>
    </w:tbl>
    <w:p w14:paraId="68B06AB0" w14:textId="77777777" w:rsidR="0025175F" w:rsidRPr="00CC174F" w:rsidRDefault="0025175F" w:rsidP="0025175F">
      <w:pPr>
        <w:rPr>
          <w:rFonts w:ascii="Century Gothic" w:hAnsi="Century Gothic"/>
        </w:rPr>
      </w:pPr>
    </w:p>
    <w:p w14:paraId="52F9C01F" w14:textId="77777777" w:rsidR="0025175F" w:rsidRDefault="0025175F" w:rsidP="0025175F">
      <w:pPr>
        <w:rPr>
          <w:rFonts w:ascii="Century Gothic" w:hAnsi="Century Gothic"/>
        </w:rPr>
      </w:pPr>
    </w:p>
    <w:p w14:paraId="524C4B77" w14:textId="77777777" w:rsidR="0025175F" w:rsidRDefault="0025175F" w:rsidP="0025175F">
      <w:pPr>
        <w:rPr>
          <w:rFonts w:ascii="Century Gothic" w:hAnsi="Century Gothic"/>
        </w:rPr>
      </w:pPr>
    </w:p>
    <w:p w14:paraId="53F7E4C7" w14:textId="77777777" w:rsidR="0025175F" w:rsidRDefault="0025175F" w:rsidP="00DB2412"/>
    <w:sectPr w:rsidR="0025175F" w:rsidSect="008F7A0B">
      <w:headerReference w:type="default" r:id="rId9"/>
      <w:pgSz w:w="15840" w:h="12240" w:orient="landscape"/>
      <w:pgMar w:top="720"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E9AB3E" w14:textId="77777777" w:rsidR="00A91211" w:rsidRDefault="00A91211" w:rsidP="00DB2412">
      <w:r>
        <w:separator/>
      </w:r>
    </w:p>
  </w:endnote>
  <w:endnote w:type="continuationSeparator" w:id="0">
    <w:p w14:paraId="1279EEE8" w14:textId="77777777" w:rsidR="00A91211" w:rsidRDefault="00A91211" w:rsidP="00DB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082A2E" w14:textId="77777777" w:rsidR="00A91211" w:rsidRDefault="00A91211" w:rsidP="00DB2412">
      <w:r>
        <w:separator/>
      </w:r>
    </w:p>
  </w:footnote>
  <w:footnote w:type="continuationSeparator" w:id="0">
    <w:p w14:paraId="71150592" w14:textId="77777777" w:rsidR="00A91211" w:rsidRDefault="00A91211" w:rsidP="00DB2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3FA301" w14:textId="77777777" w:rsidR="00DB2412" w:rsidRDefault="00DB2412" w:rsidP="00DB2412">
    <w:pPr>
      <w:pStyle w:val="Header"/>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CB4100"/>
    <w:multiLevelType w:val="hybridMultilevel"/>
    <w:tmpl w:val="E36C4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DD4B3E"/>
    <w:multiLevelType w:val="hybridMultilevel"/>
    <w:tmpl w:val="8AA67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7B5A75"/>
    <w:multiLevelType w:val="hybridMultilevel"/>
    <w:tmpl w:val="EE62D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711929"/>
    <w:multiLevelType w:val="hybridMultilevel"/>
    <w:tmpl w:val="CF6CE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9613155">
    <w:abstractNumId w:val="1"/>
  </w:num>
  <w:num w:numId="2" w16cid:durableId="1744520098">
    <w:abstractNumId w:val="2"/>
  </w:num>
  <w:num w:numId="3" w16cid:durableId="1886792079">
    <w:abstractNumId w:val="0"/>
  </w:num>
  <w:num w:numId="4" w16cid:durableId="9963027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A0B"/>
    <w:rsid w:val="00012620"/>
    <w:rsid w:val="00044078"/>
    <w:rsid w:val="00055227"/>
    <w:rsid w:val="000614F5"/>
    <w:rsid w:val="0011645E"/>
    <w:rsid w:val="001275EA"/>
    <w:rsid w:val="001A7FC6"/>
    <w:rsid w:val="00203649"/>
    <w:rsid w:val="00225E8E"/>
    <w:rsid w:val="002436B5"/>
    <w:rsid w:val="00246934"/>
    <w:rsid w:val="0025175F"/>
    <w:rsid w:val="0026759B"/>
    <w:rsid w:val="00272A83"/>
    <w:rsid w:val="002A079D"/>
    <w:rsid w:val="002E45D2"/>
    <w:rsid w:val="00311343"/>
    <w:rsid w:val="0035548E"/>
    <w:rsid w:val="00471C74"/>
    <w:rsid w:val="004937B7"/>
    <w:rsid w:val="004F45A8"/>
    <w:rsid w:val="005A4458"/>
    <w:rsid w:val="005C0F68"/>
    <w:rsid w:val="00663EA6"/>
    <w:rsid w:val="006E6A19"/>
    <w:rsid w:val="007753F0"/>
    <w:rsid w:val="007B0253"/>
    <w:rsid w:val="007C3C3C"/>
    <w:rsid w:val="007C4648"/>
    <w:rsid w:val="007D066D"/>
    <w:rsid w:val="007D603C"/>
    <w:rsid w:val="007F0A36"/>
    <w:rsid w:val="008F7A0B"/>
    <w:rsid w:val="00946F30"/>
    <w:rsid w:val="009E741B"/>
    <w:rsid w:val="00A31AE6"/>
    <w:rsid w:val="00A61FDE"/>
    <w:rsid w:val="00A83DF7"/>
    <w:rsid w:val="00A91211"/>
    <w:rsid w:val="00AA48E0"/>
    <w:rsid w:val="00AD364F"/>
    <w:rsid w:val="00B343E8"/>
    <w:rsid w:val="00B411DC"/>
    <w:rsid w:val="00BD420D"/>
    <w:rsid w:val="00BE4100"/>
    <w:rsid w:val="00C170EF"/>
    <w:rsid w:val="00C45BF5"/>
    <w:rsid w:val="00D1001E"/>
    <w:rsid w:val="00D315A9"/>
    <w:rsid w:val="00DB2412"/>
    <w:rsid w:val="00DF1DBC"/>
    <w:rsid w:val="00E25329"/>
    <w:rsid w:val="00E829FC"/>
    <w:rsid w:val="00E94F29"/>
    <w:rsid w:val="00EC41EB"/>
    <w:rsid w:val="00EF3E3A"/>
    <w:rsid w:val="00F0787B"/>
    <w:rsid w:val="00F76C42"/>
    <w:rsid w:val="00FC0555"/>
    <w:rsid w:val="00FC7E01"/>
    <w:rsid w:val="00FD07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8E87DF"/>
  <w15:docId w15:val="{C74662ED-E910-4EEA-B853-B222D307E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412"/>
    <w:pPr>
      <w:tabs>
        <w:tab w:val="center" w:pos="4680"/>
        <w:tab w:val="right" w:pos="9360"/>
      </w:tabs>
    </w:pPr>
  </w:style>
  <w:style w:type="character" w:customStyle="1" w:styleId="HeaderChar">
    <w:name w:val="Header Char"/>
    <w:basedOn w:val="DefaultParagraphFont"/>
    <w:link w:val="Header"/>
    <w:uiPriority w:val="99"/>
    <w:rsid w:val="00DB2412"/>
  </w:style>
  <w:style w:type="paragraph" w:styleId="Footer">
    <w:name w:val="footer"/>
    <w:basedOn w:val="Normal"/>
    <w:link w:val="FooterChar"/>
    <w:uiPriority w:val="99"/>
    <w:unhideWhenUsed/>
    <w:rsid w:val="00DB2412"/>
    <w:pPr>
      <w:tabs>
        <w:tab w:val="center" w:pos="4680"/>
        <w:tab w:val="right" w:pos="9360"/>
      </w:tabs>
    </w:pPr>
  </w:style>
  <w:style w:type="character" w:customStyle="1" w:styleId="FooterChar">
    <w:name w:val="Footer Char"/>
    <w:basedOn w:val="DefaultParagraphFont"/>
    <w:link w:val="Footer"/>
    <w:uiPriority w:val="99"/>
    <w:rsid w:val="00DB2412"/>
  </w:style>
  <w:style w:type="paragraph" w:styleId="Revision">
    <w:name w:val="Revision"/>
    <w:hidden/>
    <w:uiPriority w:val="99"/>
    <w:semiHidden/>
    <w:rsid w:val="00DB2412"/>
  </w:style>
  <w:style w:type="table" w:styleId="TableGrid">
    <w:name w:val="Table Grid"/>
    <w:basedOn w:val="TableNormal"/>
    <w:uiPriority w:val="99"/>
    <w:rsid w:val="0025175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63EA6"/>
    <w:rPr>
      <w:color w:val="0563C1" w:themeColor="hyperlink"/>
      <w:u w:val="single"/>
    </w:rPr>
  </w:style>
  <w:style w:type="character" w:styleId="UnresolvedMention">
    <w:name w:val="Unresolved Mention"/>
    <w:basedOn w:val="DefaultParagraphFont"/>
    <w:uiPriority w:val="99"/>
    <w:semiHidden/>
    <w:unhideWhenUsed/>
    <w:rsid w:val="00663EA6"/>
    <w:rPr>
      <w:color w:val="808080"/>
      <w:shd w:val="clear" w:color="auto" w:fill="E6E6E6"/>
    </w:rPr>
  </w:style>
  <w:style w:type="paragraph" w:styleId="ListParagraph">
    <w:name w:val="List Paragraph"/>
    <w:basedOn w:val="Normal"/>
    <w:uiPriority w:val="34"/>
    <w:qFormat/>
    <w:rsid w:val="00AD36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992421">
      <w:bodyDiv w:val="1"/>
      <w:marLeft w:val="0"/>
      <w:marRight w:val="0"/>
      <w:marTop w:val="0"/>
      <w:marBottom w:val="0"/>
      <w:divBdr>
        <w:top w:val="none" w:sz="0" w:space="0" w:color="auto"/>
        <w:left w:val="none" w:sz="0" w:space="0" w:color="auto"/>
        <w:bottom w:val="none" w:sz="0" w:space="0" w:color="auto"/>
        <w:right w:val="none" w:sz="0" w:space="0" w:color="auto"/>
      </w:divBdr>
    </w:div>
    <w:div w:id="837423113">
      <w:bodyDiv w:val="1"/>
      <w:marLeft w:val="0"/>
      <w:marRight w:val="0"/>
      <w:marTop w:val="0"/>
      <w:marBottom w:val="0"/>
      <w:divBdr>
        <w:top w:val="none" w:sz="0" w:space="0" w:color="auto"/>
        <w:left w:val="none" w:sz="0" w:space="0" w:color="auto"/>
        <w:bottom w:val="none" w:sz="0" w:space="0" w:color="auto"/>
        <w:right w:val="none" w:sz="0" w:space="0" w:color="auto"/>
      </w:divBdr>
    </w:div>
    <w:div w:id="895508728">
      <w:bodyDiv w:val="1"/>
      <w:marLeft w:val="0"/>
      <w:marRight w:val="0"/>
      <w:marTop w:val="0"/>
      <w:marBottom w:val="0"/>
      <w:divBdr>
        <w:top w:val="none" w:sz="0" w:space="0" w:color="auto"/>
        <w:left w:val="none" w:sz="0" w:space="0" w:color="auto"/>
        <w:bottom w:val="none" w:sz="0" w:space="0" w:color="auto"/>
        <w:right w:val="none" w:sz="0" w:space="0" w:color="auto"/>
      </w:divBdr>
    </w:div>
    <w:div w:id="1906522936">
      <w:bodyDiv w:val="1"/>
      <w:marLeft w:val="0"/>
      <w:marRight w:val="0"/>
      <w:marTop w:val="0"/>
      <w:marBottom w:val="0"/>
      <w:divBdr>
        <w:top w:val="none" w:sz="0" w:space="0" w:color="auto"/>
        <w:left w:val="none" w:sz="0" w:space="0" w:color="auto"/>
        <w:bottom w:val="none" w:sz="0" w:space="0" w:color="auto"/>
        <w:right w:val="none" w:sz="0" w:space="0" w:color="auto"/>
      </w:divBdr>
    </w:div>
    <w:div w:id="20571195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de.smartsheet.com/try-it?trp=5014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OneDrive\Desktop\Free-MS-Word-Strategic-Planning-Templates_Aaron_Bannister\REF\ref9-IC-University-Strategic-Plan-Outline-8658-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ref9-IC-University-Strategic-Plan-Outline-8658-WORD.dotx</Template>
  <TotalTime>21</TotalTime>
  <Pages>4</Pages>
  <Words>918</Words>
  <Characters>5239</Characters>
  <Application>Microsoft Office Word</Application>
  <DocSecurity>0</DocSecurity>
  <Lines>43</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Bess</dc:creator>
  <cp:lastModifiedBy>Chris Green</cp:lastModifiedBy>
  <cp:revision>17</cp:revision>
  <cp:lastPrinted>2024-11-07T07:55:00Z</cp:lastPrinted>
  <dcterms:created xsi:type="dcterms:W3CDTF">2024-03-19T23:21:00Z</dcterms:created>
  <dcterms:modified xsi:type="dcterms:W3CDTF">2024-11-12T08:48:00Z</dcterms:modified>
</cp:coreProperties>
</file>