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0651" w14:textId="0DC534D2" w:rsidR="00A40D00" w:rsidRPr="00B26960" w:rsidRDefault="002F2EAE" w:rsidP="00D4300C">
      <w:pPr>
        <w:rPr>
          <w:b/>
          <w:color w:val="595959" w:themeColor="text1" w:themeTint="A6"/>
          <w:sz w:val="40"/>
          <w:szCs w:val="20"/>
        </w:rPr>
      </w:pPr>
      <w:r>
        <w:rPr>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61881947" wp14:editId="55190EDD">
                <wp:simplePos x="0" y="0"/>
                <wp:positionH relativeFrom="column">
                  <wp:posOffset>5572126</wp:posOffset>
                </wp:positionH>
                <wp:positionV relativeFrom="paragraph">
                  <wp:posOffset>-120015</wp:posOffset>
                </wp:positionV>
                <wp:extent cx="3544570" cy="485863"/>
                <wp:effectExtent l="0" t="0" r="0" b="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3544570" cy="485863"/>
                        </a:xfrm>
                        <a:prstGeom prst="rect">
                          <a:avLst/>
                        </a:prstGeom>
                        <a:solidFill>
                          <a:srgbClr val="00BD32"/>
                        </a:solidFill>
                        <a:ln w="6350">
                          <a:noFill/>
                        </a:ln>
                      </wps:spPr>
                      <wps:txbx>
                        <w:txbxContent>
                          <w:p w14:paraId="0EB56128" w14:textId="77777777" w:rsidR="002F2EAE" w:rsidRPr="00D01660" w:rsidRDefault="002F2EAE" w:rsidP="002F2EAE">
                            <w:pPr>
                              <w:spacing w:line="360" w:lineRule="auto"/>
                              <w:jc w:val="center"/>
                              <w:rPr>
                                <w:b/>
                                <w:bCs/>
                                <w:color w:val="00BD32"/>
                                <w:sz w:val="36"/>
                                <w:szCs w:val="36"/>
                              </w:rPr>
                            </w:pPr>
                            <w:r>
                              <w:rPr>
                                <w:b/>
                                <w:color w:val="FFFFFF" w:themeColor="background1"/>
                                <w:sz w:val="36"/>
                              </w:rPr>
                              <w:t>Smartsheet KOSTENLOS testen</w:t>
                            </w:r>
                          </w:p>
                        </w:txbxContent>
                      </wps:txbx>
                      <wps:bodyPr rot="0" spcFirstLastPara="0" vertOverflow="overflow" horzOverflow="overflow" vert="horz" wrap="square" lIns="0" tIns="9144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81947" id="_x0000_t202" coordsize="21600,21600" o:spt="202" path="m,l,21600r21600,l21600,xe">
                <v:stroke joinstyle="miter"/>
                <v:path gradientshapeok="t" o:connecttype="rect"/>
              </v:shapetype>
              <v:shape id="Text Box 3" o:spid="_x0000_s1026" type="#_x0000_t202" href="https://de.smartsheet.com/try-it?trp=49695&amp;utm_language=DE&amp;utm_source=integrated-content&amp;utm_campaign=https://de.smartsheet.com/content/it-capacity-management&amp;utm_medium=ic+IT+Capacity+Management+Planning+doc+49695+de&amp;lpa=ic+IT+Capacity+Management+Planning+doc+49695+de" style="position:absolute;margin-left:438.75pt;margin-top:-9.45pt;width:279.1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3j+KgIAAEkEAAAOAAAAZHJzL2Uyb0RvYy54bWysVE1v2zAMvQ/YfxB0X+x8LjPiFGmCDAOK&#13;&#10;tkA69CzLcmxAFjVJiZ39+lGynXTdTsMuMiVSj+Tjk1d3bS3JWRhbgUrpeBRTIhSHvFLHlH5/2X9a&#13;&#10;UmIdUzmToERKL8LSu/XHD6tGJ2ICJchcGIIgyiaNTmnpnE6iyPJS1MyOQAuFzgJMzRxuzTHKDWsQ&#13;&#10;vZbRJI4XUQMm1wa4sBZPd52TrgN+UQjunorCCkdkSrE2F1YT1syv0XrFkqNhuqx4Xwb7hypqVilM&#13;&#10;eoXaMcfIyVR/QNUVN2ChcCMOdQRFUXEResBuxvG7bg4l0yL0guRYfaXJ/j9Y/ng+6GdDXHsPLQ7Q&#13;&#10;E9Jom1g89P20han9Fysl6EcKL1faROsIx8PpfDabf0YXR99sOV8uph4mut3WxrqvAmrijZQaHEtg&#13;&#10;i50frOtChxCfzIKs8n0lZdiYY7aVhpyZH2F8v5tOevTfwqQiTUoX03kckBX4+x20VFjMrSlvuTZr&#13;&#10;+04zyC9IgIFOG1bzfYVVPjDrnplBMWBjKHD3hEshAZNAb1FSgvn5t3MfjzNCLyUNiiul9seJGUGJ&#13;&#10;/KZwel6Jwfgyns1wY4bTbDDUqd4CNjzG56N5MH2ck4NZGKhfUfsbnwldTHHMl9JsMLeukzm+HS42&#13;&#10;mxCEmtPMPaiD5h7a0+t5f2lfmdH9cByO9REG6bHk3Yy6WH9TwebkoKjCAD2pHZM916jXIIH+bfkH&#13;&#10;8XYfom5/gPUvAAAA//8DAFBLAwQUAAYACAAAACEAvGt0yuIAAAAQAQAADwAAAGRycy9kb3ducmV2&#13;&#10;LnhtbExPz0vDMBS+C/4P4QleZEvnbNN1TYc4vDo2FTxmzbMpNi+lSbfuvzc76eXBx/t+lpvJduyE&#13;&#10;g28dSVjME2BItdMtNRI+3l9nOTAfFGnVOUIJF/SwqW5vSlVod6Y9ng6hYdGEfKEkmBD6gnNfG7TK&#13;&#10;z12PFH/fbrAqRDg0XA/qHM1txx+TJONWtRQTjOrxxWD9cxitBFr1X+i3o1h+jvvLg86mt11tpLy/&#13;&#10;m7breJ7XwAJO4U8B1w2xP1Sx2NGNpD3rJORCpJEqYbbIV8CujKdlKoAdJaQiA16V/P+Q6hcAAP//&#13;&#10;AwBQSwECLQAUAAYACAAAACEAtoM4kv4AAADhAQAAEwAAAAAAAAAAAAAAAAAAAAAAW0NvbnRlbnRf&#13;&#10;VHlwZXNdLnhtbFBLAQItABQABgAIAAAAIQA4/SH/1gAAAJQBAAALAAAAAAAAAAAAAAAAAC8BAABf&#13;&#10;cmVscy8ucmVsc1BLAQItABQABgAIAAAAIQBJS3j+KgIAAEkEAAAOAAAAAAAAAAAAAAAAAC4CAABk&#13;&#10;cnMvZTJvRG9jLnhtbFBLAQItABQABgAIAAAAIQC8a3TK4gAAABABAAAPAAAAAAAAAAAAAAAAAIQE&#13;&#10;AABkcnMvZG93bnJldi54bWxQSwUGAAAAAAQABADzAAAAkwUAAAAA&#13;&#10;" o:button="t" fillcolor="#00bd32" stroked="f" strokeweight=".5pt">
                <v:fill o:detectmouseclick="t"/>
                <v:textbox inset="0,7.2pt,0,0">
                  <w:txbxContent>
                    <w:p w14:paraId="0EB56128" w14:textId="77777777" w:rsidR="002F2EAE" w:rsidRPr="00D01660" w:rsidRDefault="002F2EAE" w:rsidP="002F2EAE">
                      <w:pPr>
                        <w:spacing w:line="360" w:lineRule="auto"/>
                        <w:jc w:val="center"/>
                        <w:rPr>
                          <w:b/>
                          <w:bCs/>
                          <w:color w:val="00BD32"/>
                          <w:sz w:val="36"/>
                          <w:szCs w:val="36"/>
                        </w:rPr>
                      </w:pPr>
                      <w:r>
                        <w:rPr>
                          <w:b/>
                          <w:color w:val="FFFFFF" w:themeColor="background1"/>
                          <w:sz w:val="36"/>
                        </w:rPr>
                        <w:t>Smartsheet KOSTENLOS testen</w:t>
                      </w:r>
                    </w:p>
                  </w:txbxContent>
                </v:textbox>
              </v:shape>
            </w:pict>
          </mc:Fallback>
        </mc:AlternateContent>
      </w:r>
      <w:r>
        <w:rPr>
          <w:b/>
          <w:color w:val="595959" w:themeColor="text1" w:themeTint="A6"/>
          <w:sz w:val="40"/>
        </w:rPr>
        <w:t>VORLAGE FÜR DIE IT-KAPAZITÄTSPLANUNG</w:t>
      </w:r>
    </w:p>
    <w:p w14:paraId="1BD4360F" w14:textId="77777777" w:rsidR="0093157F" w:rsidRDefault="0093157F" w:rsidP="00BF475F"/>
    <w:p w14:paraId="372A8EC1" w14:textId="77777777" w:rsidR="00C51C72" w:rsidRPr="006D5CD3" w:rsidRDefault="00C51C72" w:rsidP="006D5CD3">
      <w:pPr>
        <w:spacing w:line="276" w:lineRule="auto"/>
        <w:rPr>
          <w:sz w:val="21"/>
          <w:szCs w:val="21"/>
        </w:rPr>
      </w:pPr>
    </w:p>
    <w:p w14:paraId="76B34984" w14:textId="77777777" w:rsidR="00C51C72" w:rsidRPr="006D5CD3" w:rsidRDefault="00B26960" w:rsidP="006D5CD3">
      <w:pPr>
        <w:spacing w:line="276" w:lineRule="auto"/>
        <w:rPr>
          <w:sz w:val="21"/>
          <w:szCs w:val="21"/>
        </w:rPr>
      </w:pPr>
      <w:r>
        <w:rPr>
          <w:sz w:val="21"/>
        </w:rPr>
        <w:t>Die IT-Kapazitätsplanung beschreibt die aktuellen und zukünftigen IT-Kapazitätsanforderungen. Der IT-Kapazitätsplan legt die Ressourcen fest, die zur Erfüllung der Serviceanforderungen des Unternehmens erforderlich sein werden. Diese Vorlage für die IT-Kapazitätsplanung bewertet alle IT-Services und deren Kapazitätsanforderungen. Verwenden Sie sie, wenn Sie Ihre Kapazitätsgrenze erreichen, um mithilfe eines Reaktionsplans zukünftiges Wachstum zu prognostizieren.</w:t>
      </w:r>
    </w:p>
    <w:p w14:paraId="57185120" w14:textId="77777777" w:rsidR="00B26960" w:rsidRDefault="00B26960" w:rsidP="00BF475F"/>
    <w:p w14:paraId="5AED2259" w14:textId="77777777" w:rsidR="00C51C72" w:rsidRPr="006D5CD3" w:rsidRDefault="00C51C72" w:rsidP="00BF475F">
      <w:pPr>
        <w:rPr>
          <w:bCs/>
          <w:color w:val="595959" w:themeColor="text1" w:themeTint="A6"/>
          <w:sz w:val="28"/>
        </w:rPr>
      </w:pPr>
      <w:r>
        <w:rPr>
          <w:color w:val="595959" w:themeColor="text1" w:themeTint="A6"/>
          <w:sz w:val="28"/>
        </w:rPr>
        <w:t>KAPAZITÄTSPLANUNG</w:t>
      </w:r>
    </w:p>
    <w:p w14:paraId="564B957C" w14:textId="77777777" w:rsidR="00C51C72" w:rsidRPr="00DB244A" w:rsidRDefault="00C51C72" w:rsidP="00BF475F">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00C51C72" w:rsidRPr="001E6381" w14:paraId="32D1F60D" w14:textId="77777777" w:rsidTr="006D5CD3">
        <w:trPr>
          <w:trHeight w:val="576"/>
        </w:trPr>
        <w:tc>
          <w:tcPr>
            <w:tcW w:w="3420" w:type="dxa"/>
            <w:tcBorders>
              <w:top w:val="single" w:sz="4" w:space="0" w:color="BFBFBF"/>
              <w:left w:val="single" w:sz="4" w:space="0" w:color="BFBFBF"/>
              <w:bottom w:val="single" w:sz="4" w:space="0" w:color="BFBFBF"/>
              <w:right w:val="single" w:sz="4" w:space="0" w:color="BFBFBF"/>
            </w:tcBorders>
            <w:shd w:val="clear" w:color="auto" w:fill="D5DCE4" w:themeFill="text2" w:themeFillTint="33"/>
            <w:tcMar>
              <w:top w:w="0" w:type="dxa"/>
            </w:tcMar>
            <w:vAlign w:val="center"/>
            <w:hideMark/>
          </w:tcPr>
          <w:p w14:paraId="2CB29821" w14:textId="77777777" w:rsidR="00C51C72" w:rsidRPr="006D5CD3" w:rsidRDefault="00C51C72" w:rsidP="00C51C72">
            <w:pPr>
              <w:rPr>
                <w:b/>
                <w:color w:val="000000" w:themeColor="text1"/>
              </w:rPr>
            </w:pPr>
            <w:r>
              <w:rPr>
                <w:b/>
                <w:color w:val="000000" w:themeColor="text1"/>
              </w:rPr>
              <w:t>SERVICE</w:t>
            </w:r>
          </w:p>
        </w:tc>
        <w:tc>
          <w:tcPr>
            <w:tcW w:w="3150"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hideMark/>
          </w:tcPr>
          <w:p w14:paraId="5A82FAE9" w14:textId="77777777" w:rsidR="00C51C72" w:rsidRPr="006D5CD3" w:rsidRDefault="00C51C72" w:rsidP="00C51C72">
            <w:pPr>
              <w:rPr>
                <w:b/>
                <w:color w:val="000000" w:themeColor="text1"/>
              </w:rPr>
            </w:pPr>
            <w:r>
              <w:rPr>
                <w:b/>
                <w:color w:val="000000" w:themeColor="text1"/>
              </w:rPr>
              <w:t>KAPAZITÄTSANFORDERUNG</w:t>
            </w:r>
          </w:p>
        </w:tc>
        <w:tc>
          <w:tcPr>
            <w:tcW w:w="2160"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hideMark/>
          </w:tcPr>
          <w:p w14:paraId="6DE09D13" w14:textId="77777777" w:rsidR="00C51C72" w:rsidRPr="006D5CD3" w:rsidRDefault="00C51C72" w:rsidP="00C51C72">
            <w:pPr>
              <w:rPr>
                <w:b/>
                <w:color w:val="000000" w:themeColor="text1"/>
              </w:rPr>
            </w:pPr>
            <w:r>
              <w:rPr>
                <w:b/>
                <w:color w:val="000000" w:themeColor="text1"/>
              </w:rPr>
              <w:t xml:space="preserve">% STEIGERUNG </w:t>
            </w:r>
          </w:p>
          <w:p w14:paraId="5CF6D956" w14:textId="77777777" w:rsidR="00C51C72" w:rsidRPr="006D5CD3" w:rsidRDefault="00C51C72" w:rsidP="00C51C72">
            <w:pPr>
              <w:rPr>
                <w:b/>
                <w:color w:val="000000" w:themeColor="text1"/>
              </w:rPr>
            </w:pPr>
            <w:r>
              <w:rPr>
                <w:b/>
                <w:color w:val="000000" w:themeColor="text1"/>
              </w:rPr>
              <w:t>PRO JAHR ERFORDERLICH</w:t>
            </w:r>
          </w:p>
        </w:tc>
        <w:tc>
          <w:tcPr>
            <w:tcW w:w="2160"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tcPr>
          <w:p w14:paraId="04FCA6C4" w14:textId="77777777" w:rsidR="00C51C72" w:rsidRPr="006D5CD3" w:rsidRDefault="00C51C72" w:rsidP="00C51C72">
            <w:pPr>
              <w:rPr>
                <w:b/>
                <w:color w:val="000000" w:themeColor="text1"/>
              </w:rPr>
            </w:pPr>
            <w:r>
              <w:rPr>
                <w:b/>
                <w:color w:val="000000" w:themeColor="text1"/>
              </w:rPr>
              <w:t xml:space="preserve">KAPAZITÄT </w:t>
            </w:r>
          </w:p>
          <w:p w14:paraId="6B965D9B" w14:textId="77777777" w:rsidR="00C51C72" w:rsidRPr="006D5CD3" w:rsidRDefault="00C51C72" w:rsidP="00C51C72">
            <w:pPr>
              <w:rPr>
                <w:b/>
                <w:color w:val="000000" w:themeColor="text1"/>
              </w:rPr>
            </w:pPr>
            <w:r>
              <w:rPr>
                <w:b/>
                <w:color w:val="000000" w:themeColor="text1"/>
              </w:rPr>
              <w:t>SCHWELLE</w:t>
            </w:r>
          </w:p>
        </w:tc>
        <w:tc>
          <w:tcPr>
            <w:tcW w:w="3689" w:type="dxa"/>
            <w:tcBorders>
              <w:top w:val="single" w:sz="4" w:space="0" w:color="BFBFBF"/>
              <w:left w:val="nil"/>
              <w:bottom w:val="single" w:sz="4" w:space="0" w:color="BFBFBF"/>
              <w:right w:val="single" w:sz="4" w:space="0" w:color="BFBFBF"/>
            </w:tcBorders>
            <w:shd w:val="clear" w:color="auto" w:fill="D5DCE4" w:themeFill="text2" w:themeFillTint="33"/>
            <w:tcMar>
              <w:top w:w="0" w:type="dxa"/>
            </w:tcMar>
            <w:vAlign w:val="center"/>
          </w:tcPr>
          <w:p w14:paraId="0291EA30" w14:textId="77777777" w:rsidR="00C51C72" w:rsidRPr="006D5CD3" w:rsidRDefault="00C51C72" w:rsidP="00C51C72">
            <w:pPr>
              <w:rPr>
                <w:b/>
                <w:color w:val="000000" w:themeColor="text1"/>
              </w:rPr>
            </w:pPr>
            <w:r>
              <w:rPr>
                <w:b/>
                <w:color w:val="000000" w:themeColor="text1"/>
              </w:rPr>
              <w:t>REAKTIONSPLAN</w:t>
            </w:r>
          </w:p>
        </w:tc>
      </w:tr>
      <w:tr w:rsidR="00C51C72" w:rsidRPr="001E6381" w14:paraId="2EC49A95" w14:textId="77777777" w:rsidTr="00AE750E">
        <w:trPr>
          <w:trHeight w:val="1952"/>
        </w:trPr>
        <w:tc>
          <w:tcPr>
            <w:tcW w:w="3420" w:type="dxa"/>
            <w:tcBorders>
              <w:top w:val="single" w:sz="4" w:space="0" w:color="BFBFBF"/>
              <w:left w:val="single" w:sz="4" w:space="0" w:color="BFBFBF"/>
              <w:bottom w:val="single" w:sz="18" w:space="0" w:color="BFBFBF" w:themeColor="background1" w:themeShade="BF"/>
              <w:right w:val="single" w:sz="4" w:space="0" w:color="BFBFBF"/>
            </w:tcBorders>
            <w:shd w:val="clear" w:color="auto" w:fill="F7F9FB"/>
            <w:hideMark/>
          </w:tcPr>
          <w:p w14:paraId="3BD9168F" w14:textId="77777777" w:rsidR="00C51C72" w:rsidRPr="00C51C72" w:rsidRDefault="00C51C72" w:rsidP="00C51C72">
            <w:pPr>
              <w:rPr>
                <w:sz w:val="20"/>
              </w:rPr>
            </w:pPr>
            <w:r>
              <w:rPr>
                <w:sz w:val="20"/>
              </w:rPr>
              <w:t>E-Mail-Speicher</w:t>
            </w:r>
          </w:p>
        </w:tc>
        <w:tc>
          <w:tcPr>
            <w:tcW w:w="3150" w:type="dxa"/>
            <w:tcBorders>
              <w:top w:val="single" w:sz="4" w:space="0" w:color="BFBFBF"/>
              <w:left w:val="nil"/>
              <w:bottom w:val="single" w:sz="18" w:space="0" w:color="BFBFBF" w:themeColor="background1" w:themeShade="BF"/>
              <w:right w:val="single" w:sz="4" w:space="0" w:color="BFBFBF"/>
            </w:tcBorders>
            <w:shd w:val="clear" w:color="auto" w:fill="F7F9FB"/>
            <w:hideMark/>
          </w:tcPr>
          <w:p w14:paraId="12434185" w14:textId="77777777" w:rsidR="00C51C72" w:rsidRPr="00C51C72" w:rsidRDefault="00C51C72" w:rsidP="00C51C72">
            <w:pPr>
              <w:rPr>
                <w:sz w:val="20"/>
              </w:rPr>
            </w:pPr>
            <w:r>
              <w:rPr>
                <w:sz w:val="20"/>
              </w:rPr>
              <w:t>&lt;Kapazitätsanforderungen&gt;</w:t>
            </w:r>
          </w:p>
        </w:tc>
        <w:tc>
          <w:tcPr>
            <w:tcW w:w="2160" w:type="dxa"/>
            <w:tcBorders>
              <w:top w:val="single" w:sz="4" w:space="0" w:color="BFBFBF"/>
              <w:left w:val="nil"/>
              <w:bottom w:val="single" w:sz="18" w:space="0" w:color="BFBFBF" w:themeColor="background1" w:themeShade="BF"/>
              <w:right w:val="single" w:sz="4" w:space="0" w:color="BFBFBF"/>
            </w:tcBorders>
            <w:shd w:val="clear" w:color="auto" w:fill="F7F9FB"/>
            <w:hideMark/>
          </w:tcPr>
          <w:p w14:paraId="39354F6D" w14:textId="77777777" w:rsidR="00C51C72" w:rsidRPr="00C51C72" w:rsidRDefault="00C51C72" w:rsidP="00C51C72">
            <w:pPr>
              <w:rPr>
                <w:sz w:val="20"/>
              </w:rPr>
            </w:pPr>
            <w:r>
              <w:rPr>
                <w:sz w:val="20"/>
              </w:rPr>
              <w:t>&lt;geschätzte Steigerung&gt;</w:t>
            </w:r>
          </w:p>
        </w:tc>
        <w:tc>
          <w:tcPr>
            <w:tcW w:w="2160" w:type="dxa"/>
            <w:tcBorders>
              <w:top w:val="single" w:sz="4" w:space="0" w:color="BFBFBF"/>
              <w:left w:val="nil"/>
              <w:bottom w:val="single" w:sz="18" w:space="0" w:color="BFBFBF" w:themeColor="background1" w:themeShade="BF"/>
              <w:right w:val="single" w:sz="4" w:space="0" w:color="BFBFBF"/>
            </w:tcBorders>
            <w:shd w:val="clear" w:color="auto" w:fill="F7F9FB"/>
          </w:tcPr>
          <w:p w14:paraId="4D34E6B5" w14:textId="77777777" w:rsidR="00C51C72" w:rsidRPr="00C51C72" w:rsidRDefault="00C51C72" w:rsidP="00C51C72">
            <w:pPr>
              <w:rPr>
                <w:sz w:val="20"/>
              </w:rPr>
            </w:pPr>
            <w:r>
              <w:rPr>
                <w:sz w:val="20"/>
              </w:rPr>
              <w:t>&lt;Bei welcher Kapazität sind Änderungen erforderlich?&gt;</w:t>
            </w:r>
          </w:p>
        </w:tc>
        <w:tc>
          <w:tcPr>
            <w:tcW w:w="3689" w:type="dxa"/>
            <w:tcBorders>
              <w:top w:val="single" w:sz="4" w:space="0" w:color="BFBFBF"/>
              <w:left w:val="nil"/>
              <w:bottom w:val="single" w:sz="18" w:space="0" w:color="BFBFBF" w:themeColor="background1" w:themeShade="BF"/>
              <w:right w:val="single" w:sz="4" w:space="0" w:color="BFBFBF"/>
            </w:tcBorders>
            <w:shd w:val="clear" w:color="auto" w:fill="F7F9FB"/>
          </w:tcPr>
          <w:p w14:paraId="01838CFE" w14:textId="77777777" w:rsidR="00C51C72" w:rsidRPr="00C51C72" w:rsidRDefault="00C51C72" w:rsidP="00C51C72">
            <w:pPr>
              <w:rPr>
                <w:sz w:val="20"/>
              </w:rPr>
            </w:pPr>
            <w:r>
              <w:rPr>
                <w:sz w:val="20"/>
              </w:rPr>
              <w:t>&lt;Was ist geplant, wenn ein Schwellenwert erreicht wird?&gt;</w:t>
            </w:r>
          </w:p>
        </w:tc>
      </w:tr>
    </w:tbl>
    <w:p w14:paraId="6F6C3BAB" w14:textId="77777777" w:rsidR="00C51C72" w:rsidRDefault="00C51C72" w:rsidP="00197419"/>
    <w:p w14:paraId="2639F879" w14:textId="77777777" w:rsidR="006D5CD3" w:rsidRDefault="00C51C72" w:rsidP="006D5CD3">
      <w:pPr>
        <w:spacing w:line="276" w:lineRule="auto"/>
        <w:rPr>
          <w:sz w:val="21"/>
          <w:szCs w:val="21"/>
        </w:rPr>
      </w:pPr>
      <w:r>
        <w:rPr>
          <w:sz w:val="21"/>
        </w:rPr>
        <w:t xml:space="preserve">Wenn Sie die Dienstleistungen analysieren, die die IT für das Unternehmen anbietet, ist es unerlässlich, die Auswirkungen von Ausfallzeiten zu bewerten. </w:t>
      </w:r>
    </w:p>
    <w:p w14:paraId="18FDFC6C" w14:textId="77777777" w:rsidR="00197419" w:rsidRPr="006D5CD3" w:rsidRDefault="00C51C72" w:rsidP="006D5CD3">
      <w:pPr>
        <w:spacing w:line="276" w:lineRule="auto"/>
        <w:rPr>
          <w:sz w:val="21"/>
          <w:szCs w:val="21"/>
        </w:rPr>
      </w:pPr>
      <w:r>
        <w:rPr>
          <w:sz w:val="21"/>
        </w:rPr>
        <w:t>Dieses Diagramm für die Geschäftsauswirkungsanalyse kann verwendet werden, um die Kritikalität jedes Dienstes vollständig zu verstehen.</w:t>
      </w:r>
    </w:p>
    <w:p w14:paraId="62C97321" w14:textId="77777777" w:rsidR="00C51C72" w:rsidRDefault="00C51C72" w:rsidP="00197419"/>
    <w:p w14:paraId="6552A628" w14:textId="77777777" w:rsidR="00C51C72" w:rsidRPr="006D5CD3" w:rsidRDefault="00C51C72" w:rsidP="00197419">
      <w:pPr>
        <w:rPr>
          <w:bCs/>
          <w:color w:val="595959" w:themeColor="text1" w:themeTint="A6"/>
          <w:sz w:val="28"/>
          <w:szCs w:val="28"/>
        </w:rPr>
      </w:pPr>
      <w:r>
        <w:rPr>
          <w:color w:val="595959" w:themeColor="text1" w:themeTint="A6"/>
          <w:sz w:val="28"/>
        </w:rPr>
        <w:t>GESCHÄFTSAUSWIRKUNGSANALYSE</w:t>
      </w:r>
    </w:p>
    <w:p w14:paraId="2EBD3F53" w14:textId="77777777" w:rsidR="00C51C72" w:rsidRPr="00BF475F" w:rsidRDefault="00C51C72" w:rsidP="00197419">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378"/>
        <w:gridCol w:w="1627"/>
        <w:gridCol w:w="1661"/>
        <w:gridCol w:w="7913"/>
      </w:tblGrid>
      <w:tr w:rsidR="00C51C72" w:rsidRPr="001E6381" w14:paraId="6B3D46CC" w14:textId="77777777" w:rsidTr="006D5CD3">
        <w:trPr>
          <w:trHeight w:val="576"/>
        </w:trPr>
        <w:tc>
          <w:tcPr>
            <w:tcW w:w="3420"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tcMar>
              <w:top w:w="0" w:type="dxa"/>
            </w:tcMar>
            <w:vAlign w:val="center"/>
            <w:hideMark/>
          </w:tcPr>
          <w:p w14:paraId="2D33111F" w14:textId="77777777" w:rsidR="00C51C72" w:rsidRPr="006D5CD3" w:rsidRDefault="00C51C72" w:rsidP="00C51C72">
            <w:pPr>
              <w:rPr>
                <w:b/>
                <w:color w:val="000000" w:themeColor="text1"/>
              </w:rPr>
            </w:pPr>
            <w:r>
              <w:rPr>
                <w:b/>
                <w:color w:val="000000" w:themeColor="text1"/>
              </w:rPr>
              <w:t>SERVICE</w:t>
            </w:r>
          </w:p>
        </w:tc>
        <w:tc>
          <w:tcPr>
            <w:tcW w:w="1620"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hideMark/>
          </w:tcPr>
          <w:p w14:paraId="1B248E0F" w14:textId="77777777" w:rsidR="00C51C72" w:rsidRPr="006D5CD3" w:rsidRDefault="00C51C72" w:rsidP="00C51C72">
            <w:pPr>
              <w:rPr>
                <w:b/>
                <w:color w:val="000000" w:themeColor="text1"/>
              </w:rPr>
            </w:pPr>
            <w:r>
              <w:rPr>
                <w:b/>
                <w:color w:val="000000" w:themeColor="text1"/>
              </w:rPr>
              <w:t>AUSWIRKUNGEN</w:t>
            </w:r>
          </w:p>
        </w:tc>
        <w:tc>
          <w:tcPr>
            <w:tcW w:w="1530"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hideMark/>
          </w:tcPr>
          <w:p w14:paraId="646A86FA" w14:textId="77777777" w:rsidR="00C51C72" w:rsidRPr="006D5CD3" w:rsidRDefault="00C51C72" w:rsidP="00C51C72">
            <w:pPr>
              <w:rPr>
                <w:b/>
                <w:color w:val="000000" w:themeColor="text1"/>
              </w:rPr>
            </w:pPr>
            <w:r>
              <w:rPr>
                <w:b/>
                <w:color w:val="000000" w:themeColor="text1"/>
              </w:rPr>
              <w:t>KOSTEN DER AUSWIRKUNGEN</w:t>
            </w:r>
          </w:p>
        </w:tc>
        <w:tc>
          <w:tcPr>
            <w:tcW w:w="8009" w:type="dxa"/>
            <w:tcBorders>
              <w:top w:val="single" w:sz="4" w:space="0" w:color="BFBFBF"/>
              <w:left w:val="nil"/>
              <w:bottom w:val="single" w:sz="4" w:space="0" w:color="BFBFBF"/>
              <w:right w:val="single" w:sz="4" w:space="0" w:color="BFBFBF"/>
            </w:tcBorders>
            <w:shd w:val="clear" w:color="auto" w:fill="D9D9D9" w:themeFill="background1" w:themeFillShade="D9"/>
            <w:tcMar>
              <w:top w:w="0" w:type="dxa"/>
            </w:tcMar>
            <w:vAlign w:val="center"/>
          </w:tcPr>
          <w:p w14:paraId="65C90121" w14:textId="77777777" w:rsidR="00C51C72" w:rsidRPr="006D5CD3" w:rsidRDefault="00C51C72" w:rsidP="00C51C72">
            <w:pPr>
              <w:rPr>
                <w:b/>
                <w:color w:val="000000" w:themeColor="text1"/>
              </w:rPr>
            </w:pPr>
            <w:r>
              <w:rPr>
                <w:b/>
                <w:color w:val="000000" w:themeColor="text1"/>
              </w:rPr>
              <w:t>DETAILS</w:t>
            </w:r>
          </w:p>
        </w:tc>
      </w:tr>
      <w:tr w:rsidR="00C51C72" w:rsidRPr="001E6381" w14:paraId="496F9C54" w14:textId="77777777" w:rsidTr="009E607B">
        <w:trPr>
          <w:trHeight w:val="2448"/>
        </w:trPr>
        <w:tc>
          <w:tcPr>
            <w:tcW w:w="3420" w:type="dxa"/>
            <w:tcBorders>
              <w:top w:val="single" w:sz="4" w:space="0" w:color="BFBFBF"/>
              <w:left w:val="single" w:sz="4" w:space="0" w:color="BFBFBF"/>
              <w:bottom w:val="single" w:sz="24" w:space="0" w:color="BFBFBF" w:themeColor="background1" w:themeShade="BF"/>
              <w:right w:val="single" w:sz="4" w:space="0" w:color="BFBFBF"/>
            </w:tcBorders>
            <w:shd w:val="clear" w:color="auto" w:fill="F9F9F9"/>
            <w:hideMark/>
          </w:tcPr>
          <w:p w14:paraId="28D1EAF5" w14:textId="77777777" w:rsidR="00C51C72" w:rsidRPr="006D5CD3" w:rsidRDefault="00C51C72" w:rsidP="00C51C72">
            <w:pPr>
              <w:rPr>
                <w:sz w:val="20"/>
                <w:szCs w:val="20"/>
              </w:rPr>
            </w:pPr>
            <w:r>
              <w:rPr>
                <w:sz w:val="20"/>
              </w:rPr>
              <w:t>Internet</w:t>
            </w:r>
          </w:p>
        </w:tc>
        <w:tc>
          <w:tcPr>
            <w:tcW w:w="1620" w:type="dxa"/>
            <w:tcBorders>
              <w:top w:val="single" w:sz="4" w:space="0" w:color="BFBFBF"/>
              <w:left w:val="nil"/>
              <w:bottom w:val="single" w:sz="24" w:space="0" w:color="BFBFBF" w:themeColor="background1" w:themeShade="BF"/>
              <w:right w:val="single" w:sz="4" w:space="0" w:color="BFBFBF"/>
            </w:tcBorders>
            <w:shd w:val="clear" w:color="auto" w:fill="F9F9F9"/>
            <w:hideMark/>
          </w:tcPr>
          <w:p w14:paraId="182F93BF" w14:textId="77777777" w:rsidR="00C51C72" w:rsidRPr="006D5CD3" w:rsidRDefault="00C51C72" w:rsidP="00C51C72">
            <w:pPr>
              <w:rPr>
                <w:sz w:val="20"/>
                <w:szCs w:val="20"/>
              </w:rPr>
            </w:pPr>
            <w:r>
              <w:rPr>
                <w:sz w:val="20"/>
              </w:rPr>
              <w:t>Kritisch</w:t>
            </w:r>
          </w:p>
        </w:tc>
        <w:tc>
          <w:tcPr>
            <w:tcW w:w="1530" w:type="dxa"/>
            <w:tcBorders>
              <w:top w:val="single" w:sz="4" w:space="0" w:color="BFBFBF"/>
              <w:left w:val="nil"/>
              <w:bottom w:val="single" w:sz="24" w:space="0" w:color="BFBFBF" w:themeColor="background1" w:themeShade="BF"/>
              <w:right w:val="single" w:sz="4" w:space="0" w:color="BFBFBF"/>
            </w:tcBorders>
            <w:shd w:val="clear" w:color="auto" w:fill="F9F9F9"/>
            <w:hideMark/>
          </w:tcPr>
          <w:p w14:paraId="7443B896" w14:textId="77777777" w:rsidR="00C51C72" w:rsidRPr="006D5CD3" w:rsidRDefault="00C51C72" w:rsidP="00C51C72">
            <w:pPr>
              <w:rPr>
                <w:sz w:val="20"/>
                <w:szCs w:val="20"/>
              </w:rPr>
            </w:pPr>
            <w:r>
              <w:rPr>
                <w:sz w:val="20"/>
              </w:rPr>
              <w:t>5.000/Stunde $</w:t>
            </w:r>
          </w:p>
        </w:tc>
        <w:tc>
          <w:tcPr>
            <w:tcW w:w="8009" w:type="dxa"/>
            <w:tcBorders>
              <w:top w:val="single" w:sz="4" w:space="0" w:color="BFBFBF"/>
              <w:left w:val="nil"/>
              <w:bottom w:val="single" w:sz="24" w:space="0" w:color="BFBFBF" w:themeColor="background1" w:themeShade="BF"/>
              <w:right w:val="single" w:sz="4" w:space="0" w:color="BFBFBF"/>
            </w:tcBorders>
            <w:shd w:val="clear" w:color="auto" w:fill="F9F9F9"/>
          </w:tcPr>
          <w:p w14:paraId="650D4727" w14:textId="77777777" w:rsidR="00C51C72" w:rsidRPr="006D5CD3" w:rsidRDefault="00C51C72" w:rsidP="00C51C72">
            <w:pPr>
              <w:rPr>
                <w:sz w:val="20"/>
                <w:szCs w:val="20"/>
              </w:rPr>
            </w:pPr>
            <w:r>
              <w:rPr>
                <w:sz w:val="20"/>
              </w:rPr>
              <w:t xml:space="preserve">Das gesamte Unternehmen hängt während der Geschäftszeiten vom Internetzugang ab. Ohne Internetzugang können Vertriebs-, Support-, Buchhaltungs- und Forschungsabteilungen ihre Aufgaben nicht erledigen, was zu einem Stopp der umsatzgenerierenden Aktivitäten führt. </w:t>
            </w:r>
          </w:p>
        </w:tc>
      </w:tr>
    </w:tbl>
    <w:p w14:paraId="59CD1157" w14:textId="77777777" w:rsidR="00C51C72" w:rsidRDefault="00C51C72" w:rsidP="001D4D30">
      <w:pPr>
        <w:pStyle w:val="Heading1"/>
        <w:spacing w:line="276" w:lineRule="auto"/>
        <w:sectPr w:rsidR="00C51C72" w:rsidSect="00CD4620">
          <w:footerReference w:type="even" r:id="rId12"/>
          <w:footerReference w:type="default" r:id="rId13"/>
          <w:pgSz w:w="15840" w:h="12240" w:orient="landscape"/>
          <w:pgMar w:top="639" w:right="720" w:bottom="720" w:left="720" w:header="720" w:footer="720" w:gutter="0"/>
          <w:cols w:space="720"/>
          <w:docGrid w:linePitch="360"/>
        </w:sectPr>
      </w:pPr>
    </w:p>
    <w:p w14:paraId="2B1F13BE" w14:textId="77777777" w:rsidR="00C51C72" w:rsidRPr="009E607B" w:rsidRDefault="00C51C72" w:rsidP="00C51C72">
      <w:pPr>
        <w:rPr>
          <w:sz w:val="28"/>
          <w:szCs w:val="28"/>
        </w:rPr>
      </w:pPr>
    </w:p>
    <w:p w14:paraId="62453165" w14:textId="77777777" w:rsidR="00C51C72" w:rsidRPr="006D5CD3" w:rsidRDefault="00C51C72" w:rsidP="00C51C72">
      <w:pPr>
        <w:rPr>
          <w:bCs/>
          <w:color w:val="595959" w:themeColor="text1" w:themeTint="A6"/>
          <w:sz w:val="28"/>
        </w:rPr>
      </w:pPr>
      <w:r>
        <w:rPr>
          <w:color w:val="595959" w:themeColor="text1" w:themeTint="A6"/>
          <w:sz w:val="28"/>
        </w:rPr>
        <w:t>KAPAZITÄTSPLANUNG</w:t>
      </w:r>
    </w:p>
    <w:p w14:paraId="1384D393" w14:textId="77777777" w:rsidR="00C51C72" w:rsidRPr="00DB244A" w:rsidRDefault="00C51C72" w:rsidP="00C51C72">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420"/>
        <w:gridCol w:w="3150"/>
        <w:gridCol w:w="2160"/>
        <w:gridCol w:w="2160"/>
        <w:gridCol w:w="3689"/>
      </w:tblGrid>
      <w:tr w:rsidR="00C51C72" w:rsidRPr="001E6381" w14:paraId="14C23A9B" w14:textId="77777777" w:rsidTr="009E607B">
        <w:trPr>
          <w:trHeight w:val="576"/>
        </w:trPr>
        <w:tc>
          <w:tcPr>
            <w:tcW w:w="3420" w:type="dxa"/>
            <w:tcBorders>
              <w:top w:val="single" w:sz="4" w:space="0" w:color="BFBFBF"/>
              <w:left w:val="single" w:sz="4" w:space="0" w:color="BFBFBF"/>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69B566BF" w14:textId="77777777" w:rsidR="00C51C72" w:rsidRPr="009E607B" w:rsidRDefault="00C51C72" w:rsidP="000C08FC">
            <w:pPr>
              <w:rPr>
                <w:b/>
                <w:color w:val="000000" w:themeColor="text1"/>
              </w:rPr>
            </w:pPr>
            <w:r>
              <w:rPr>
                <w:b/>
                <w:color w:val="000000" w:themeColor="text1"/>
              </w:rPr>
              <w:t>SERVICE</w:t>
            </w:r>
          </w:p>
        </w:tc>
        <w:tc>
          <w:tcPr>
            <w:tcW w:w="3150"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6F339E00" w14:textId="77777777" w:rsidR="00C51C72" w:rsidRPr="009E607B" w:rsidRDefault="00C51C72" w:rsidP="000C08FC">
            <w:pPr>
              <w:rPr>
                <w:b/>
                <w:color w:val="000000" w:themeColor="text1"/>
              </w:rPr>
            </w:pPr>
            <w:r>
              <w:rPr>
                <w:b/>
                <w:color w:val="000000" w:themeColor="text1"/>
              </w:rPr>
              <w:t>KAPAZITÄTSANFORDERUNG</w:t>
            </w:r>
          </w:p>
        </w:tc>
        <w:tc>
          <w:tcPr>
            <w:tcW w:w="2160"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hideMark/>
          </w:tcPr>
          <w:p w14:paraId="2A41666E" w14:textId="77777777" w:rsidR="00C51C72" w:rsidRPr="009E607B" w:rsidRDefault="00C51C72" w:rsidP="000C08FC">
            <w:pPr>
              <w:rPr>
                <w:b/>
                <w:color w:val="000000" w:themeColor="text1"/>
              </w:rPr>
            </w:pPr>
            <w:r>
              <w:rPr>
                <w:b/>
                <w:color w:val="000000" w:themeColor="text1"/>
              </w:rPr>
              <w:t xml:space="preserve">% STEIGERUNG </w:t>
            </w:r>
          </w:p>
          <w:p w14:paraId="2A034A53" w14:textId="77777777" w:rsidR="00C51C72" w:rsidRPr="009E607B" w:rsidRDefault="00C51C72" w:rsidP="000C08FC">
            <w:pPr>
              <w:rPr>
                <w:b/>
                <w:color w:val="000000" w:themeColor="text1"/>
              </w:rPr>
            </w:pPr>
            <w:r>
              <w:rPr>
                <w:b/>
                <w:color w:val="000000" w:themeColor="text1"/>
              </w:rPr>
              <w:t>PRO JAHR ERFORDERLICH</w:t>
            </w:r>
          </w:p>
        </w:tc>
        <w:tc>
          <w:tcPr>
            <w:tcW w:w="2160"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tcPr>
          <w:p w14:paraId="5B472D1D" w14:textId="77777777" w:rsidR="00C51C72" w:rsidRPr="009E607B" w:rsidRDefault="00C51C72" w:rsidP="000C08FC">
            <w:pPr>
              <w:rPr>
                <w:b/>
                <w:color w:val="000000" w:themeColor="text1"/>
              </w:rPr>
            </w:pPr>
            <w:r>
              <w:rPr>
                <w:b/>
                <w:color w:val="000000" w:themeColor="text1"/>
              </w:rPr>
              <w:t xml:space="preserve">KAPAZITÄT </w:t>
            </w:r>
          </w:p>
          <w:p w14:paraId="549A9F01" w14:textId="77777777" w:rsidR="00C51C72" w:rsidRPr="009E607B" w:rsidRDefault="00C51C72" w:rsidP="000C08FC">
            <w:pPr>
              <w:rPr>
                <w:b/>
                <w:color w:val="000000" w:themeColor="text1"/>
              </w:rPr>
            </w:pPr>
            <w:r>
              <w:rPr>
                <w:b/>
                <w:color w:val="000000" w:themeColor="text1"/>
              </w:rPr>
              <w:t>SCHWELLE</w:t>
            </w:r>
          </w:p>
        </w:tc>
        <w:tc>
          <w:tcPr>
            <w:tcW w:w="3689" w:type="dxa"/>
            <w:tcBorders>
              <w:top w:val="single" w:sz="4" w:space="0" w:color="BFBFBF"/>
              <w:left w:val="nil"/>
              <w:bottom w:val="single" w:sz="4" w:space="0" w:color="BFBFBF" w:themeColor="background1" w:themeShade="BF"/>
              <w:right w:val="single" w:sz="4" w:space="0" w:color="BFBFBF"/>
            </w:tcBorders>
            <w:shd w:val="clear" w:color="auto" w:fill="D5DCE4" w:themeFill="text2" w:themeFillTint="33"/>
            <w:tcMar>
              <w:top w:w="0" w:type="dxa"/>
            </w:tcMar>
            <w:vAlign w:val="center"/>
          </w:tcPr>
          <w:p w14:paraId="4AD2D1AA" w14:textId="77777777" w:rsidR="00C51C72" w:rsidRPr="009E607B" w:rsidRDefault="00C51C72" w:rsidP="000C08FC">
            <w:pPr>
              <w:rPr>
                <w:b/>
                <w:color w:val="000000" w:themeColor="text1"/>
              </w:rPr>
            </w:pPr>
            <w:r>
              <w:rPr>
                <w:b/>
                <w:color w:val="000000" w:themeColor="text1"/>
              </w:rPr>
              <w:t>REAKTIONSPLAN</w:t>
            </w:r>
          </w:p>
        </w:tc>
      </w:tr>
      <w:tr w:rsidR="00C51C72" w:rsidRPr="001E6381" w14:paraId="0F94EB09" w14:textId="77777777" w:rsidTr="009E607B">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7A4F0999"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453022C0"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2B1F671"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0482CF5"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4BF1A006" w14:textId="77777777" w:rsidR="00C51C72" w:rsidRPr="00C51C72" w:rsidRDefault="00C51C72" w:rsidP="000C08FC">
            <w:pPr>
              <w:rPr>
                <w:sz w:val="20"/>
              </w:rPr>
            </w:pPr>
          </w:p>
        </w:tc>
      </w:tr>
      <w:tr w:rsidR="00C51C72" w:rsidRPr="001E6381" w14:paraId="32E44F71" w14:textId="77777777" w:rsidTr="00C51C72">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5F097E7A"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A45EFBB"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380A9181"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87CE107"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39D170E2" w14:textId="77777777" w:rsidR="00C51C72" w:rsidRPr="00C51C72" w:rsidRDefault="00C51C72" w:rsidP="000C08FC">
            <w:pPr>
              <w:rPr>
                <w:sz w:val="20"/>
              </w:rPr>
            </w:pPr>
          </w:p>
        </w:tc>
      </w:tr>
      <w:tr w:rsidR="00C51C72" w:rsidRPr="001E6381" w14:paraId="13E12CAF" w14:textId="77777777" w:rsidTr="009E607B">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7BC86482"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51C4D3D9"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07001928"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29D1C788"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Pr>
          <w:p w14:paraId="6FE0887E" w14:textId="77777777" w:rsidR="00C51C72" w:rsidRPr="00C51C72" w:rsidRDefault="00C51C72" w:rsidP="000C08FC">
            <w:pPr>
              <w:rPr>
                <w:sz w:val="20"/>
              </w:rPr>
            </w:pPr>
          </w:p>
        </w:tc>
      </w:tr>
      <w:tr w:rsidR="00C51C72" w:rsidRPr="001E6381" w14:paraId="41654F28" w14:textId="77777777" w:rsidTr="00C51C72">
        <w:trPr>
          <w:trHeight w:val="2160"/>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407BE00F" w14:textId="77777777" w:rsidR="00C51C72" w:rsidRPr="00C51C72" w:rsidRDefault="00C51C72" w:rsidP="000C08FC">
            <w:pPr>
              <w:rPr>
                <w:sz w:val="20"/>
              </w:rPr>
            </w:pPr>
          </w:p>
        </w:tc>
        <w:tc>
          <w:tcPr>
            <w:tcW w:w="31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B4F78E9"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2DE7E33" w14:textId="77777777" w:rsidR="00C51C72" w:rsidRPr="00C51C72" w:rsidRDefault="00C51C72" w:rsidP="000C08FC">
            <w:pPr>
              <w:rPr>
                <w:sz w:val="20"/>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0C9C589A" w14:textId="77777777" w:rsidR="00C51C72" w:rsidRPr="00C51C72" w:rsidRDefault="00C51C72" w:rsidP="000C08FC">
            <w:pPr>
              <w:rPr>
                <w:sz w:val="20"/>
              </w:rPr>
            </w:pPr>
          </w:p>
        </w:tc>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tcPr>
          <w:p w14:paraId="64FFB8E6" w14:textId="77777777" w:rsidR="00C51C72" w:rsidRPr="00C51C72" w:rsidRDefault="00C51C72" w:rsidP="000C08FC">
            <w:pPr>
              <w:rPr>
                <w:sz w:val="20"/>
              </w:rPr>
            </w:pPr>
          </w:p>
        </w:tc>
      </w:tr>
    </w:tbl>
    <w:p w14:paraId="669A982E" w14:textId="77777777" w:rsidR="00C51C72" w:rsidRDefault="00C51C72" w:rsidP="00C51C72"/>
    <w:p w14:paraId="53CD1711" w14:textId="77777777" w:rsidR="009E607B" w:rsidRDefault="009E607B" w:rsidP="00CD4620">
      <w:pPr>
        <w:rPr>
          <w:bCs/>
          <w:color w:val="595959" w:themeColor="text1" w:themeTint="A6"/>
          <w:sz w:val="28"/>
          <w:szCs w:val="28"/>
        </w:rPr>
      </w:pPr>
    </w:p>
    <w:p w14:paraId="7DFAD8C3" w14:textId="77777777" w:rsidR="00CD4620" w:rsidRPr="009E607B" w:rsidRDefault="00CD4620" w:rsidP="00CD4620">
      <w:pPr>
        <w:rPr>
          <w:bCs/>
          <w:color w:val="595959" w:themeColor="text1" w:themeTint="A6"/>
          <w:sz w:val="28"/>
          <w:szCs w:val="28"/>
        </w:rPr>
      </w:pPr>
      <w:r>
        <w:rPr>
          <w:color w:val="595959" w:themeColor="text1" w:themeTint="A6"/>
          <w:sz w:val="28"/>
        </w:rPr>
        <w:t>GESCHÄFTSAUSWIRKUNGSANALYSE</w:t>
      </w:r>
    </w:p>
    <w:p w14:paraId="1B5ABF22" w14:textId="77777777" w:rsidR="00CD4620" w:rsidRPr="00BF475F" w:rsidRDefault="00CD4620" w:rsidP="00CD4620">
      <w:pPr>
        <w:rPr>
          <w:sz w:val="10"/>
          <w:szCs w:val="10"/>
        </w:rPr>
      </w:pPr>
    </w:p>
    <w:tbl>
      <w:tblPr>
        <w:tblW w:w="14579" w:type="dxa"/>
        <w:tblInd w:w="-5" w:type="dxa"/>
        <w:tblCellMar>
          <w:top w:w="72" w:type="dxa"/>
          <w:left w:w="115" w:type="dxa"/>
          <w:right w:w="115" w:type="dxa"/>
        </w:tblCellMar>
        <w:tblLook w:val="04A0" w:firstRow="1" w:lastRow="0" w:firstColumn="1" w:lastColumn="0" w:noHBand="0" w:noVBand="1"/>
      </w:tblPr>
      <w:tblGrid>
        <w:gridCol w:w="3393"/>
        <w:gridCol w:w="1627"/>
        <w:gridCol w:w="1627"/>
        <w:gridCol w:w="7932"/>
      </w:tblGrid>
      <w:tr w:rsidR="00CD4620" w:rsidRPr="001E6381" w14:paraId="1C89E9F8" w14:textId="77777777" w:rsidTr="009E607B">
        <w:trPr>
          <w:trHeight w:val="576"/>
        </w:trPr>
        <w:tc>
          <w:tcPr>
            <w:tcW w:w="3420" w:type="dxa"/>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3632C6F" w14:textId="77777777" w:rsidR="00CD4620" w:rsidRPr="009E607B" w:rsidRDefault="00CD4620" w:rsidP="000C08FC">
            <w:pPr>
              <w:rPr>
                <w:b/>
                <w:color w:val="000000" w:themeColor="text1"/>
              </w:rPr>
            </w:pPr>
            <w:r>
              <w:rPr>
                <w:b/>
                <w:color w:val="000000" w:themeColor="text1"/>
              </w:rPr>
              <w:t>SERVICE</w:t>
            </w:r>
          </w:p>
        </w:tc>
        <w:tc>
          <w:tcPr>
            <w:tcW w:w="1620"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EAC50D4" w14:textId="77777777" w:rsidR="00CD4620" w:rsidRPr="009E607B" w:rsidRDefault="00CD4620" w:rsidP="000C08FC">
            <w:pPr>
              <w:rPr>
                <w:b/>
                <w:color w:val="000000" w:themeColor="text1"/>
              </w:rPr>
            </w:pPr>
            <w:r>
              <w:rPr>
                <w:b/>
                <w:color w:val="000000" w:themeColor="text1"/>
              </w:rPr>
              <w:t>AUSWIRKUNGEN</w:t>
            </w:r>
          </w:p>
        </w:tc>
        <w:tc>
          <w:tcPr>
            <w:tcW w:w="1530"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hideMark/>
          </w:tcPr>
          <w:p w14:paraId="03A598D4" w14:textId="77777777" w:rsidR="00CD4620" w:rsidRPr="009E607B" w:rsidRDefault="00CD4620" w:rsidP="000C08FC">
            <w:pPr>
              <w:rPr>
                <w:b/>
                <w:color w:val="000000" w:themeColor="text1"/>
              </w:rPr>
            </w:pPr>
            <w:r>
              <w:rPr>
                <w:b/>
                <w:color w:val="000000" w:themeColor="text1"/>
              </w:rPr>
              <w:t>KOSTEN DER AUSWIRKUNGEN</w:t>
            </w:r>
          </w:p>
        </w:tc>
        <w:tc>
          <w:tcPr>
            <w:tcW w:w="8009" w:type="dxa"/>
            <w:tcBorders>
              <w:top w:val="single" w:sz="4" w:space="0" w:color="BFBFBF"/>
              <w:left w:val="nil"/>
              <w:bottom w:val="single" w:sz="4" w:space="0" w:color="BFBFBF" w:themeColor="background1" w:themeShade="BF"/>
              <w:right w:val="single" w:sz="4" w:space="0" w:color="BFBFBF"/>
            </w:tcBorders>
            <w:shd w:val="clear" w:color="auto" w:fill="D9D9D9" w:themeFill="background1" w:themeFillShade="D9"/>
            <w:tcMar>
              <w:top w:w="0" w:type="dxa"/>
            </w:tcMar>
            <w:vAlign w:val="center"/>
          </w:tcPr>
          <w:p w14:paraId="02E4BF42" w14:textId="77777777" w:rsidR="00CD4620" w:rsidRPr="009E607B" w:rsidRDefault="00CD4620" w:rsidP="000C08FC">
            <w:pPr>
              <w:rPr>
                <w:b/>
                <w:color w:val="000000" w:themeColor="text1"/>
              </w:rPr>
            </w:pPr>
            <w:r>
              <w:rPr>
                <w:b/>
                <w:color w:val="000000" w:themeColor="text1"/>
              </w:rPr>
              <w:t>DETAILS</w:t>
            </w:r>
          </w:p>
        </w:tc>
      </w:tr>
      <w:tr w:rsidR="00CD4620" w:rsidRPr="001E6381" w14:paraId="0883911A" w14:textId="77777777" w:rsidTr="009E607B">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1E1A244"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81AED02" w14:textId="77777777" w:rsidR="00CD4620" w:rsidRPr="009E607B" w:rsidRDefault="00CD4620" w:rsidP="000C08FC">
            <w:pPr>
              <w:rPr>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C034B8E" w14:textId="77777777" w:rsidR="00CD4620" w:rsidRPr="009E607B" w:rsidRDefault="00CD4620" w:rsidP="000C08FC">
            <w:pPr>
              <w:rPr>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65765ABA" w14:textId="77777777" w:rsidR="00CD4620" w:rsidRPr="009E607B" w:rsidRDefault="00CD4620" w:rsidP="000C08FC">
            <w:pPr>
              <w:rPr>
                <w:sz w:val="20"/>
                <w:szCs w:val="20"/>
              </w:rPr>
            </w:pPr>
          </w:p>
        </w:tc>
      </w:tr>
      <w:tr w:rsidR="00CD4620" w:rsidRPr="001E6381" w14:paraId="2D32F727" w14:textId="77777777" w:rsidTr="00CD4620">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624BC4"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8017651" w14:textId="77777777" w:rsidR="00CD4620" w:rsidRPr="009E607B" w:rsidRDefault="00CD4620" w:rsidP="000C08FC">
            <w:pPr>
              <w:rPr>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24F2A5" w14:textId="77777777" w:rsidR="00CD4620" w:rsidRPr="009E607B" w:rsidRDefault="00CD4620" w:rsidP="000C08FC">
            <w:pPr>
              <w:rPr>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37D6906" w14:textId="77777777" w:rsidR="00CD4620" w:rsidRPr="009E607B" w:rsidRDefault="00CD4620" w:rsidP="000C08FC">
            <w:pPr>
              <w:rPr>
                <w:sz w:val="20"/>
                <w:szCs w:val="20"/>
              </w:rPr>
            </w:pPr>
          </w:p>
        </w:tc>
      </w:tr>
      <w:tr w:rsidR="00CD4620" w:rsidRPr="001E6381" w14:paraId="7B5BBD5C" w14:textId="77777777" w:rsidTr="009E607B">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7406345"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C2D0837" w14:textId="77777777" w:rsidR="00CD4620" w:rsidRPr="009E607B" w:rsidRDefault="00CD4620" w:rsidP="000C08FC">
            <w:pPr>
              <w:rPr>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06A0D7A9" w14:textId="77777777" w:rsidR="00CD4620" w:rsidRPr="009E607B" w:rsidRDefault="00CD4620" w:rsidP="000C08FC">
            <w:pPr>
              <w:rPr>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637E3247" w14:textId="77777777" w:rsidR="00CD4620" w:rsidRPr="009E607B" w:rsidRDefault="00CD4620" w:rsidP="000C08FC">
            <w:pPr>
              <w:rPr>
                <w:sz w:val="20"/>
                <w:szCs w:val="20"/>
              </w:rPr>
            </w:pPr>
          </w:p>
        </w:tc>
      </w:tr>
      <w:tr w:rsidR="00CD4620" w:rsidRPr="001E6381" w14:paraId="7644FFD9" w14:textId="77777777" w:rsidTr="00CD4620">
        <w:trPr>
          <w:trHeight w:val="2232"/>
        </w:trPr>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97C5E06" w14:textId="77777777" w:rsidR="00CD4620" w:rsidRPr="009E607B" w:rsidRDefault="00CD4620" w:rsidP="000C08FC">
            <w:pPr>
              <w:rPr>
                <w:sz w:val="20"/>
                <w:szCs w:val="20"/>
              </w:rPr>
            </w:pP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32FB95E" w14:textId="77777777" w:rsidR="00CD4620" w:rsidRPr="009E607B" w:rsidRDefault="00CD4620" w:rsidP="000C08FC">
            <w:pPr>
              <w:rPr>
                <w:sz w:val="20"/>
                <w:szCs w:val="20"/>
              </w:rPr>
            </w:pP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8E6EC91" w14:textId="77777777" w:rsidR="00CD4620" w:rsidRPr="009E607B" w:rsidRDefault="00CD4620" w:rsidP="000C08FC">
            <w:pPr>
              <w:rPr>
                <w:sz w:val="20"/>
                <w:szCs w:val="20"/>
              </w:rPr>
            </w:pPr>
          </w:p>
        </w:tc>
        <w:tc>
          <w:tcPr>
            <w:tcW w:w="80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0E50F8" w14:textId="77777777" w:rsidR="00CD4620" w:rsidRPr="009E607B" w:rsidRDefault="00CD4620" w:rsidP="000C08FC">
            <w:pPr>
              <w:rPr>
                <w:sz w:val="20"/>
                <w:szCs w:val="20"/>
              </w:rPr>
            </w:pPr>
          </w:p>
        </w:tc>
      </w:tr>
    </w:tbl>
    <w:p w14:paraId="50182C28" w14:textId="77777777" w:rsidR="00CD4620" w:rsidRPr="00CD4620" w:rsidRDefault="00CD4620" w:rsidP="00CD4620">
      <w:pPr>
        <w:sectPr w:rsidR="00CD4620" w:rsidRPr="00CD4620" w:rsidSect="00C51C72">
          <w:pgSz w:w="15840" w:h="12240" w:orient="landscape"/>
          <w:pgMar w:top="513" w:right="720" w:bottom="720" w:left="720" w:header="720" w:footer="720" w:gutter="0"/>
          <w:cols w:space="720"/>
          <w:docGrid w:linePitch="360"/>
        </w:sectPr>
      </w:pPr>
    </w:p>
    <w:p w14:paraId="4A62CBFA" w14:textId="77777777" w:rsidR="003E1C6F" w:rsidRDefault="003E1C6F" w:rsidP="008E5F44"/>
    <w:p w14:paraId="4B3820AB" w14:textId="77777777" w:rsidR="00C51C72" w:rsidRPr="008E5F44" w:rsidRDefault="00C51C72" w:rsidP="008E5F44"/>
    <w:p w14:paraId="434A1AB6"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6C4DE439" w14:textId="77777777" w:rsidTr="00FE3126">
        <w:trPr>
          <w:trHeight w:val="2738"/>
        </w:trPr>
        <w:tc>
          <w:tcPr>
            <w:tcW w:w="10583" w:type="dxa"/>
          </w:tcPr>
          <w:p w14:paraId="0CEF82C0" w14:textId="77777777" w:rsidR="00FF51C2" w:rsidRPr="00CB3106" w:rsidRDefault="00FF51C2" w:rsidP="00CB3106">
            <w:pPr>
              <w:jc w:val="center"/>
              <w:rPr>
                <w:b/>
                <w:sz w:val="21"/>
              </w:rPr>
            </w:pPr>
            <w:r>
              <w:rPr>
                <w:b/>
                <w:sz w:val="21"/>
              </w:rPr>
              <w:t>HAFTUNGSAUSSCHLUSS</w:t>
            </w:r>
          </w:p>
          <w:p w14:paraId="5B77AFED" w14:textId="77777777" w:rsidR="00FF51C2" w:rsidRPr="00491059" w:rsidRDefault="00FF51C2" w:rsidP="00D4300C"/>
          <w:p w14:paraId="19A50F6F" w14:textId="77777777" w:rsidR="00FF51C2" w:rsidRPr="00491059" w:rsidRDefault="00FF51C2" w:rsidP="00BA1CA5">
            <w:pPr>
              <w:spacing w:line="276" w:lineRule="auto"/>
              <w:rPr>
                <w:sz w:val="20"/>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33942D1" w14:textId="77777777" w:rsidR="006B5ECE" w:rsidRPr="00491059" w:rsidRDefault="006B5ECE" w:rsidP="00D4300C"/>
    <w:sectPr w:rsidR="006B5ECE" w:rsidRPr="00491059"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7E7A" w14:textId="77777777" w:rsidR="002C1099" w:rsidRDefault="002C1099" w:rsidP="00D4300C">
      <w:r>
        <w:separator/>
      </w:r>
    </w:p>
  </w:endnote>
  <w:endnote w:type="continuationSeparator" w:id="0">
    <w:p w14:paraId="4051B08B" w14:textId="77777777" w:rsidR="002C1099" w:rsidRDefault="002C109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Content>
      <w:p w14:paraId="25BBFBFC" w14:textId="36C955CE"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7359A">
          <w:rPr>
            <w:rStyle w:val="PageNumber"/>
            <w:noProof/>
          </w:rPr>
          <w:t>1</w:t>
        </w:r>
        <w:r>
          <w:rPr>
            <w:rStyle w:val="PageNumber"/>
          </w:rPr>
          <w:fldChar w:fldCharType="end"/>
        </w:r>
      </w:p>
    </w:sdtContent>
  </w:sdt>
  <w:p w14:paraId="37BECAE3"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D7CA"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7772" w14:textId="77777777" w:rsidR="002C1099" w:rsidRDefault="002C1099" w:rsidP="00D4300C">
      <w:r>
        <w:separator/>
      </w:r>
    </w:p>
  </w:footnote>
  <w:footnote w:type="continuationSeparator" w:id="0">
    <w:p w14:paraId="5146012D" w14:textId="77777777" w:rsidR="002C1099" w:rsidRDefault="002C1099"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0104614">
    <w:abstractNumId w:val="9"/>
  </w:num>
  <w:num w:numId="2" w16cid:durableId="1763598269">
    <w:abstractNumId w:val="8"/>
  </w:num>
  <w:num w:numId="3" w16cid:durableId="529492034">
    <w:abstractNumId w:val="7"/>
  </w:num>
  <w:num w:numId="4" w16cid:durableId="112091672">
    <w:abstractNumId w:val="6"/>
  </w:num>
  <w:num w:numId="5" w16cid:durableId="533463306">
    <w:abstractNumId w:val="5"/>
  </w:num>
  <w:num w:numId="6" w16cid:durableId="1877035199">
    <w:abstractNumId w:val="4"/>
  </w:num>
  <w:num w:numId="7" w16cid:durableId="807283948">
    <w:abstractNumId w:val="3"/>
  </w:num>
  <w:num w:numId="8" w16cid:durableId="1736926428">
    <w:abstractNumId w:val="2"/>
  </w:num>
  <w:num w:numId="9" w16cid:durableId="1473209111">
    <w:abstractNumId w:val="1"/>
  </w:num>
  <w:num w:numId="10" w16cid:durableId="1640302418">
    <w:abstractNumId w:val="0"/>
  </w:num>
  <w:num w:numId="11" w16cid:durableId="241567395">
    <w:abstractNumId w:val="30"/>
  </w:num>
  <w:num w:numId="12" w16cid:durableId="1443066864">
    <w:abstractNumId w:val="42"/>
  </w:num>
  <w:num w:numId="13" w16cid:durableId="1716808271">
    <w:abstractNumId w:val="39"/>
  </w:num>
  <w:num w:numId="14" w16cid:durableId="1512574125">
    <w:abstractNumId w:val="23"/>
  </w:num>
  <w:num w:numId="15" w16cid:durableId="171722021">
    <w:abstractNumId w:val="19"/>
  </w:num>
  <w:num w:numId="16" w16cid:durableId="721489319">
    <w:abstractNumId w:val="27"/>
  </w:num>
  <w:num w:numId="17" w16cid:durableId="819663109">
    <w:abstractNumId w:val="33"/>
  </w:num>
  <w:num w:numId="18" w16cid:durableId="1060448158">
    <w:abstractNumId w:val="32"/>
  </w:num>
  <w:num w:numId="19" w16cid:durableId="1041397542">
    <w:abstractNumId w:val="16"/>
  </w:num>
  <w:num w:numId="20" w16cid:durableId="344790822">
    <w:abstractNumId w:val="41"/>
  </w:num>
  <w:num w:numId="21" w16cid:durableId="1494830757">
    <w:abstractNumId w:val="35"/>
  </w:num>
  <w:num w:numId="22" w16cid:durableId="820315794">
    <w:abstractNumId w:val="14"/>
  </w:num>
  <w:num w:numId="23" w16cid:durableId="1637485382">
    <w:abstractNumId w:val="17"/>
  </w:num>
  <w:num w:numId="24" w16cid:durableId="1935673102">
    <w:abstractNumId w:val="10"/>
  </w:num>
  <w:num w:numId="25" w16cid:durableId="466240496">
    <w:abstractNumId w:val="25"/>
  </w:num>
  <w:num w:numId="26" w16cid:durableId="831719490">
    <w:abstractNumId w:val="13"/>
  </w:num>
  <w:num w:numId="27" w16cid:durableId="334186445">
    <w:abstractNumId w:val="18"/>
  </w:num>
  <w:num w:numId="28" w16cid:durableId="755785228">
    <w:abstractNumId w:val="24"/>
  </w:num>
  <w:num w:numId="29" w16cid:durableId="1834638412">
    <w:abstractNumId w:val="21"/>
  </w:num>
  <w:num w:numId="30" w16cid:durableId="828062003">
    <w:abstractNumId w:val="38"/>
  </w:num>
  <w:num w:numId="31" w16cid:durableId="1367634513">
    <w:abstractNumId w:val="36"/>
  </w:num>
  <w:num w:numId="32" w16cid:durableId="1174035412">
    <w:abstractNumId w:val="12"/>
  </w:num>
  <w:num w:numId="33" w16cid:durableId="1940599762">
    <w:abstractNumId w:val="20"/>
  </w:num>
  <w:num w:numId="34" w16cid:durableId="589319312">
    <w:abstractNumId w:val="40"/>
  </w:num>
  <w:num w:numId="35" w16cid:durableId="1241478056">
    <w:abstractNumId w:val="29"/>
  </w:num>
  <w:num w:numId="36" w16cid:durableId="982005112">
    <w:abstractNumId w:val="28"/>
  </w:num>
  <w:num w:numId="37" w16cid:durableId="447696657">
    <w:abstractNumId w:val="31"/>
  </w:num>
  <w:num w:numId="38" w16cid:durableId="1064911602">
    <w:abstractNumId w:val="26"/>
  </w:num>
  <w:num w:numId="39" w16cid:durableId="914121988">
    <w:abstractNumId w:val="15"/>
  </w:num>
  <w:num w:numId="40" w16cid:durableId="528957718">
    <w:abstractNumId w:val="37"/>
  </w:num>
  <w:num w:numId="41" w16cid:durableId="1544293469">
    <w:abstractNumId w:val="34"/>
  </w:num>
  <w:num w:numId="42" w16cid:durableId="2125535585">
    <w:abstractNumId w:val="22"/>
  </w:num>
  <w:num w:numId="43" w16cid:durableId="317072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AE"/>
    <w:rsid w:val="00010207"/>
    <w:rsid w:val="00016299"/>
    <w:rsid w:val="0002022F"/>
    <w:rsid w:val="00022D59"/>
    <w:rsid w:val="00027FE5"/>
    <w:rsid w:val="00031AF7"/>
    <w:rsid w:val="00056E4C"/>
    <w:rsid w:val="00086C67"/>
    <w:rsid w:val="00093099"/>
    <w:rsid w:val="000A2DB1"/>
    <w:rsid w:val="000B3AA5"/>
    <w:rsid w:val="000D4E76"/>
    <w:rsid w:val="000D56D4"/>
    <w:rsid w:val="000D5F7F"/>
    <w:rsid w:val="000E139B"/>
    <w:rsid w:val="000E7AF5"/>
    <w:rsid w:val="000F57DF"/>
    <w:rsid w:val="000F6F8D"/>
    <w:rsid w:val="00111C4F"/>
    <w:rsid w:val="00116A39"/>
    <w:rsid w:val="00121D51"/>
    <w:rsid w:val="001314A7"/>
    <w:rsid w:val="001434BB"/>
    <w:rsid w:val="001472A1"/>
    <w:rsid w:val="00147F93"/>
    <w:rsid w:val="00160C50"/>
    <w:rsid w:val="00184FCB"/>
    <w:rsid w:val="001962A6"/>
    <w:rsid w:val="00197419"/>
    <w:rsid w:val="001B6E94"/>
    <w:rsid w:val="001C28B8"/>
    <w:rsid w:val="001C5E1F"/>
    <w:rsid w:val="001C7751"/>
    <w:rsid w:val="001D1964"/>
    <w:rsid w:val="001D4840"/>
    <w:rsid w:val="001D4D30"/>
    <w:rsid w:val="001E6381"/>
    <w:rsid w:val="001E7E8C"/>
    <w:rsid w:val="00247CBE"/>
    <w:rsid w:val="002507EE"/>
    <w:rsid w:val="0025213A"/>
    <w:rsid w:val="0025708E"/>
    <w:rsid w:val="00271938"/>
    <w:rsid w:val="00293D9D"/>
    <w:rsid w:val="00297E74"/>
    <w:rsid w:val="002A45FC"/>
    <w:rsid w:val="002B5D26"/>
    <w:rsid w:val="002C1099"/>
    <w:rsid w:val="002C3614"/>
    <w:rsid w:val="002D38C6"/>
    <w:rsid w:val="002E4407"/>
    <w:rsid w:val="002F2C0D"/>
    <w:rsid w:val="002F2EAE"/>
    <w:rsid w:val="002F39CD"/>
    <w:rsid w:val="00303C60"/>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04C1"/>
    <w:rsid w:val="005F5ABE"/>
    <w:rsid w:val="00673074"/>
    <w:rsid w:val="00680632"/>
    <w:rsid w:val="006B0EBC"/>
    <w:rsid w:val="006B5ECE"/>
    <w:rsid w:val="006B6267"/>
    <w:rsid w:val="006C1052"/>
    <w:rsid w:val="006C66DE"/>
    <w:rsid w:val="006D36F2"/>
    <w:rsid w:val="006D37D8"/>
    <w:rsid w:val="006D5CD3"/>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8365A"/>
    <w:rsid w:val="00895E6E"/>
    <w:rsid w:val="00896E33"/>
    <w:rsid w:val="008A299C"/>
    <w:rsid w:val="008B6A27"/>
    <w:rsid w:val="008C027C"/>
    <w:rsid w:val="008C59BA"/>
    <w:rsid w:val="008D5BD1"/>
    <w:rsid w:val="008E525C"/>
    <w:rsid w:val="008E5F44"/>
    <w:rsid w:val="008F0F82"/>
    <w:rsid w:val="00913151"/>
    <w:rsid w:val="009152A8"/>
    <w:rsid w:val="009212F2"/>
    <w:rsid w:val="0093157F"/>
    <w:rsid w:val="00942BD8"/>
    <w:rsid w:val="009776EA"/>
    <w:rsid w:val="009920A2"/>
    <w:rsid w:val="009C2E35"/>
    <w:rsid w:val="009C4A98"/>
    <w:rsid w:val="009C6682"/>
    <w:rsid w:val="009E31FD"/>
    <w:rsid w:val="009E607B"/>
    <w:rsid w:val="009E71D3"/>
    <w:rsid w:val="009F028C"/>
    <w:rsid w:val="009F3EC8"/>
    <w:rsid w:val="00A064AA"/>
    <w:rsid w:val="00A06691"/>
    <w:rsid w:val="00A12C16"/>
    <w:rsid w:val="00A2037C"/>
    <w:rsid w:val="00A40D00"/>
    <w:rsid w:val="00A459D3"/>
    <w:rsid w:val="00A6738D"/>
    <w:rsid w:val="00A7359A"/>
    <w:rsid w:val="00A82277"/>
    <w:rsid w:val="00A8452F"/>
    <w:rsid w:val="00A95536"/>
    <w:rsid w:val="00AB025C"/>
    <w:rsid w:val="00AB1F2A"/>
    <w:rsid w:val="00AB46E7"/>
    <w:rsid w:val="00AD5BA1"/>
    <w:rsid w:val="00AE12CE"/>
    <w:rsid w:val="00AE1A89"/>
    <w:rsid w:val="00AE750E"/>
    <w:rsid w:val="00AF788F"/>
    <w:rsid w:val="00B0472F"/>
    <w:rsid w:val="00B260D2"/>
    <w:rsid w:val="00B26960"/>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B3106"/>
    <w:rsid w:val="00CB4DF0"/>
    <w:rsid w:val="00CB7FA5"/>
    <w:rsid w:val="00CD3675"/>
    <w:rsid w:val="00CD4620"/>
    <w:rsid w:val="00CD579B"/>
    <w:rsid w:val="00CE1BBE"/>
    <w:rsid w:val="00D022DF"/>
    <w:rsid w:val="00D147A9"/>
    <w:rsid w:val="00D2644E"/>
    <w:rsid w:val="00D26580"/>
    <w:rsid w:val="00D4300C"/>
    <w:rsid w:val="00D660EC"/>
    <w:rsid w:val="00D675F4"/>
    <w:rsid w:val="00D72249"/>
    <w:rsid w:val="00D82ADF"/>
    <w:rsid w:val="00D90B36"/>
    <w:rsid w:val="00DA3D45"/>
    <w:rsid w:val="00DB1AE1"/>
    <w:rsid w:val="00DB244A"/>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23F8"/>
    <w:rsid w:val="00F12748"/>
    <w:rsid w:val="00F51467"/>
    <w:rsid w:val="00F61C92"/>
    <w:rsid w:val="00F85E87"/>
    <w:rsid w:val="00F90516"/>
    <w:rsid w:val="00FA71AB"/>
    <w:rsid w:val="00FB4C7E"/>
    <w:rsid w:val="00FE3126"/>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56AD4"/>
  <w15:docId w15:val="{044FCC02-9808-FC42-932F-6EE05B6B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695&amp;utm_language=DE&amp;utm_source=integrated-content&amp;utm_campaign=https://de.smartsheet.com/content/it-capacity-management&amp;utm_medium=ic+IT+Capacity+Management+Planning+doc+49695+de&amp;lpa=ic+IT+Capacity+Management+Planning+doc+49695+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F404FAD-587F-BE42-A2DF-0B6DD67FE1AF}">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7</cp:revision>
  <cp:lastPrinted>2019-05-09T20:47:00Z</cp:lastPrinted>
  <dcterms:created xsi:type="dcterms:W3CDTF">2023-05-04T19:49:00Z</dcterms:created>
  <dcterms:modified xsi:type="dcterms:W3CDTF">2023-08-09T22:34:00Z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